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4F400" w14:textId="553D5DAF" w:rsidR="00DC2517" w:rsidRPr="00792777" w:rsidRDefault="00B107D4" w:rsidP="00DC2517">
      <w:pPr>
        <w:suppressAutoHyphens/>
        <w:rPr>
          <w:rFonts w:ascii="Garamond" w:hAnsi="Garamond"/>
          <w:b/>
          <w:bCs/>
          <w:sz w:val="28"/>
          <w:szCs w:val="28"/>
        </w:rPr>
      </w:pPr>
      <w:r w:rsidRPr="00792777">
        <w:rPr>
          <w:rFonts w:ascii="Garamond" w:hAnsi="Garamond"/>
          <w:b/>
          <w:bCs/>
          <w:sz w:val="28"/>
          <w:szCs w:val="28"/>
        </w:rPr>
        <w:t xml:space="preserve">I.4. </w:t>
      </w:r>
      <w:r w:rsidR="000A0BB7" w:rsidRPr="00792777">
        <w:rPr>
          <w:rFonts w:ascii="Garamond" w:hAnsi="Garamond"/>
          <w:b/>
          <w:bCs/>
          <w:sz w:val="28"/>
          <w:szCs w:val="28"/>
        </w:rPr>
        <w:t xml:space="preserve">Изменения, связанные с порядком </w:t>
      </w:r>
      <w:r w:rsidR="00EF73F6" w:rsidRPr="00792777">
        <w:rPr>
          <w:rFonts w:ascii="Garamond" w:hAnsi="Garamond"/>
          <w:b/>
          <w:bCs/>
          <w:sz w:val="28"/>
          <w:szCs w:val="28"/>
        </w:rPr>
        <w:t>определения типовых периодов для регулируемых договоров на территории</w:t>
      </w:r>
      <w:r w:rsidR="005B1999" w:rsidRPr="00792777">
        <w:rPr>
          <w:rFonts w:ascii="Garamond" w:hAnsi="Garamond"/>
          <w:b/>
          <w:bCs/>
          <w:sz w:val="28"/>
          <w:szCs w:val="28"/>
        </w:rPr>
        <w:t xml:space="preserve"> Дальнего Востока</w:t>
      </w:r>
    </w:p>
    <w:p w14:paraId="24918748" w14:textId="77777777" w:rsidR="000A0BB7" w:rsidRPr="00792777" w:rsidRDefault="000A0BB7" w:rsidP="000A0BB7">
      <w:pPr>
        <w:widowControl w:val="0"/>
        <w:tabs>
          <w:tab w:val="left" w:pos="1134"/>
        </w:tabs>
        <w:ind w:right="23"/>
        <w:jc w:val="both"/>
        <w:rPr>
          <w:rFonts w:ascii="Garamond" w:hAnsi="Garamond"/>
          <w:b/>
          <w:bCs/>
          <w:sz w:val="28"/>
          <w:szCs w:val="28"/>
        </w:rPr>
      </w:pPr>
    </w:p>
    <w:p w14:paraId="7DFFA27B" w14:textId="7319CF1E" w:rsidR="00DD592F" w:rsidRPr="00792777" w:rsidRDefault="00DD592F" w:rsidP="00792777">
      <w:pPr>
        <w:ind w:right="82"/>
        <w:jc w:val="right"/>
        <w:rPr>
          <w:rFonts w:ascii="Garamond" w:hAnsi="Garamond"/>
          <w:b/>
          <w:bCs/>
          <w:sz w:val="28"/>
          <w:szCs w:val="28"/>
        </w:rPr>
      </w:pPr>
      <w:r w:rsidRPr="00792777">
        <w:rPr>
          <w:rFonts w:ascii="Garamond" w:hAnsi="Garamond"/>
          <w:b/>
          <w:bCs/>
          <w:sz w:val="28"/>
          <w:szCs w:val="28"/>
        </w:rPr>
        <w:t>Приложение №</w:t>
      </w:r>
      <w:r w:rsidR="00DC2517" w:rsidRPr="00792777">
        <w:rPr>
          <w:rFonts w:ascii="Garamond" w:hAnsi="Garamond"/>
          <w:b/>
          <w:bCs/>
          <w:sz w:val="28"/>
          <w:szCs w:val="28"/>
        </w:rPr>
        <w:t xml:space="preserve"> </w:t>
      </w:r>
      <w:r w:rsidR="00B107D4" w:rsidRPr="00792777">
        <w:rPr>
          <w:rFonts w:ascii="Garamond" w:hAnsi="Garamond"/>
          <w:b/>
          <w:bCs/>
          <w:sz w:val="28"/>
          <w:szCs w:val="28"/>
        </w:rPr>
        <w:t>1.4</w:t>
      </w:r>
    </w:p>
    <w:p w14:paraId="530933E8" w14:textId="77777777" w:rsidR="00DD592F" w:rsidRPr="00792777" w:rsidRDefault="00DD592F" w:rsidP="00DD592F">
      <w:pPr>
        <w:rPr>
          <w:rFonts w:ascii="Garamond" w:hAnsi="Garamond"/>
          <w:b/>
          <w:bCs/>
          <w:sz w:val="26"/>
          <w:szCs w:val="26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DD592F" w:rsidRPr="00792777" w14:paraId="407CE5E8" w14:textId="77777777" w:rsidTr="00792777">
        <w:tc>
          <w:tcPr>
            <w:tcW w:w="14737" w:type="dxa"/>
          </w:tcPr>
          <w:p w14:paraId="2319226D" w14:textId="77777777" w:rsidR="00DD592F" w:rsidRPr="00792777" w:rsidRDefault="00DD592F" w:rsidP="008D3388">
            <w:pPr>
              <w:widowControl w:val="0"/>
              <w:tabs>
                <w:tab w:val="left" w:pos="0"/>
                <w:tab w:val="left" w:pos="3420"/>
              </w:tabs>
              <w:rPr>
                <w:rFonts w:ascii="Garamond" w:hAnsi="Garamond" w:cs="Garamond"/>
                <w:bCs/>
              </w:rPr>
            </w:pPr>
            <w:r w:rsidRPr="00792777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792777">
              <w:rPr>
                <w:rFonts w:ascii="Garamond" w:hAnsi="Garamond" w:cs="Garamond"/>
                <w:bCs/>
              </w:rPr>
              <w:t>Ассоциация «НП Совет рынка».</w:t>
            </w:r>
          </w:p>
          <w:p w14:paraId="164A6C98" w14:textId="77777777" w:rsidR="00CD1877" w:rsidRPr="00792777" w:rsidRDefault="00CD1877" w:rsidP="00342B51">
            <w:pPr>
              <w:widowControl w:val="0"/>
              <w:tabs>
                <w:tab w:val="left" w:pos="1134"/>
              </w:tabs>
              <w:ind w:right="23"/>
              <w:jc w:val="both"/>
              <w:rPr>
                <w:rFonts w:ascii="Garamond" w:hAnsi="Garamond"/>
                <w:bCs/>
                <w:szCs w:val="20"/>
              </w:rPr>
            </w:pPr>
            <w:r w:rsidRPr="00792777">
              <w:rPr>
                <w:rFonts w:ascii="Garamond" w:hAnsi="Garamond"/>
                <w:b/>
                <w:szCs w:val="20"/>
              </w:rPr>
              <w:t xml:space="preserve">Обоснование: </w:t>
            </w:r>
            <w:r w:rsidR="005B1999" w:rsidRPr="00792777">
              <w:rPr>
                <w:rFonts w:ascii="Garamond" w:hAnsi="Garamond"/>
                <w:bCs/>
              </w:rPr>
              <w:t xml:space="preserve">в целях корректного учета </w:t>
            </w:r>
            <w:r w:rsidR="004B406E" w:rsidRPr="00792777">
              <w:rPr>
                <w:rFonts w:ascii="Garamond" w:hAnsi="Garamond"/>
                <w:bCs/>
              </w:rPr>
              <w:t>влияния часовых поясов на профиль потребления электрической энергии населением на</w:t>
            </w:r>
            <w:r w:rsidR="00175093" w:rsidRPr="00792777">
              <w:rPr>
                <w:rFonts w:ascii="Garamond" w:hAnsi="Garamond"/>
                <w:bCs/>
              </w:rPr>
              <w:t xml:space="preserve"> </w:t>
            </w:r>
            <w:r w:rsidR="004B406E" w:rsidRPr="00792777">
              <w:rPr>
                <w:rFonts w:ascii="Garamond" w:hAnsi="Garamond"/>
              </w:rPr>
              <w:t>входящей в состав Дальневосточного федерального округа отдельной территории, ранее относившейся к неценовым зонам оптового рынка,</w:t>
            </w:r>
            <w:r w:rsidR="00175093" w:rsidRPr="00792777">
              <w:rPr>
                <w:rFonts w:ascii="Garamond" w:hAnsi="Garamond"/>
                <w:bCs/>
              </w:rPr>
              <w:t xml:space="preserve"> </w:t>
            </w:r>
            <w:r w:rsidRPr="00792777">
              <w:rPr>
                <w:rFonts w:ascii="Garamond" w:hAnsi="Garamond"/>
                <w:bCs/>
              </w:rPr>
              <w:t xml:space="preserve">необходимо </w:t>
            </w:r>
            <w:r w:rsidR="00C0721C" w:rsidRPr="00792777">
              <w:rPr>
                <w:rFonts w:ascii="Garamond" w:hAnsi="Garamond"/>
                <w:bCs/>
              </w:rPr>
              <w:t>определить</w:t>
            </w:r>
            <w:r w:rsidR="00EF73F6" w:rsidRPr="00792777">
              <w:rPr>
                <w:rFonts w:ascii="Garamond" w:hAnsi="Garamond"/>
                <w:bCs/>
              </w:rPr>
              <w:t xml:space="preserve"> </w:t>
            </w:r>
            <w:r w:rsidR="004B406E" w:rsidRPr="00792777">
              <w:rPr>
                <w:rFonts w:ascii="Garamond" w:hAnsi="Garamond"/>
                <w:bCs/>
              </w:rPr>
              <w:t xml:space="preserve">отдельный календарь </w:t>
            </w:r>
            <w:r w:rsidR="00175093" w:rsidRPr="00792777">
              <w:rPr>
                <w:rFonts w:ascii="Garamond" w:hAnsi="Garamond"/>
                <w:bCs/>
              </w:rPr>
              <w:t xml:space="preserve">типовых периодов </w:t>
            </w:r>
            <w:r w:rsidR="004B406E" w:rsidRPr="00792777">
              <w:rPr>
                <w:rFonts w:ascii="Garamond" w:hAnsi="Garamond"/>
                <w:bCs/>
              </w:rPr>
              <w:t>на такой территории. Предлагается сформировать такой календарь п</w:t>
            </w:r>
            <w:r w:rsidR="00C0721C" w:rsidRPr="00792777">
              <w:rPr>
                <w:rFonts w:ascii="Garamond" w:hAnsi="Garamond"/>
              </w:rPr>
              <w:t>утем сдвига</w:t>
            </w:r>
            <w:r w:rsidR="004B406E" w:rsidRPr="00792777">
              <w:rPr>
                <w:rFonts w:ascii="Garamond" w:hAnsi="Garamond"/>
              </w:rPr>
              <w:t xml:space="preserve"> на 3 часа ранее</w:t>
            </w:r>
            <w:r w:rsidR="00C0721C" w:rsidRPr="00792777">
              <w:rPr>
                <w:rFonts w:ascii="Garamond" w:hAnsi="Garamond"/>
              </w:rPr>
              <w:t xml:space="preserve"> соответствующих типовых периодов</w:t>
            </w:r>
            <w:r w:rsidR="004B406E" w:rsidRPr="00792777">
              <w:rPr>
                <w:rFonts w:ascii="Garamond" w:hAnsi="Garamond"/>
              </w:rPr>
              <w:t xml:space="preserve"> для второй ценовой зоны</w:t>
            </w:r>
            <w:r w:rsidR="00C0721C" w:rsidRPr="00792777">
              <w:rPr>
                <w:rFonts w:ascii="Garamond" w:hAnsi="Garamond"/>
              </w:rPr>
              <w:t xml:space="preserve">.  </w:t>
            </w:r>
          </w:p>
          <w:p w14:paraId="4034B126" w14:textId="3CEBD996" w:rsidR="00DD592F" w:rsidRPr="00792777" w:rsidRDefault="00DD592F" w:rsidP="00EF73F6">
            <w:pPr>
              <w:rPr>
                <w:rFonts w:ascii="Garamond" w:hAnsi="Garamond"/>
                <w:b/>
                <w:szCs w:val="20"/>
              </w:rPr>
            </w:pPr>
            <w:r w:rsidRPr="00792777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792777">
              <w:rPr>
                <w:rFonts w:ascii="Garamond" w:hAnsi="Garamond"/>
                <w:szCs w:val="20"/>
              </w:rPr>
              <w:t xml:space="preserve"> </w:t>
            </w:r>
            <w:r w:rsidR="00EF73F6" w:rsidRPr="00792777">
              <w:rPr>
                <w:rFonts w:ascii="Garamond" w:hAnsi="Garamond"/>
                <w:szCs w:val="20"/>
              </w:rPr>
              <w:t>1 марта 2025 года</w:t>
            </w:r>
            <w:r w:rsidRPr="00792777">
              <w:rPr>
                <w:rFonts w:ascii="Garamond" w:hAnsi="Garamond"/>
                <w:szCs w:val="20"/>
              </w:rPr>
              <w:t>.</w:t>
            </w:r>
          </w:p>
        </w:tc>
      </w:tr>
    </w:tbl>
    <w:p w14:paraId="128CCCBA" w14:textId="77777777" w:rsidR="00EF73F6" w:rsidRPr="00792777" w:rsidRDefault="00EF73F6" w:rsidP="00C405D1">
      <w:pPr>
        <w:pStyle w:val="2"/>
        <w:keepLines/>
        <w:widowControl w:val="0"/>
        <w:numPr>
          <w:ilvl w:val="1"/>
          <w:numId w:val="0"/>
        </w:numPr>
        <w:spacing w:before="0" w:after="0"/>
        <w:jc w:val="left"/>
        <w:rPr>
          <w:rFonts w:ascii="Garamond" w:eastAsia="Batang" w:hAnsi="Garamond"/>
          <w:bCs/>
          <w:sz w:val="26"/>
          <w:szCs w:val="26"/>
        </w:rPr>
      </w:pPr>
    </w:p>
    <w:p w14:paraId="35A0D2B7" w14:textId="77777777" w:rsidR="00DD592F" w:rsidRPr="00792777" w:rsidRDefault="00EF73F6" w:rsidP="005A6CC5">
      <w:pPr>
        <w:pStyle w:val="2"/>
        <w:keepLines/>
        <w:widowControl w:val="0"/>
        <w:numPr>
          <w:ilvl w:val="1"/>
          <w:numId w:val="0"/>
        </w:numPr>
        <w:spacing w:before="0" w:after="0"/>
        <w:jc w:val="left"/>
        <w:rPr>
          <w:rFonts w:ascii="Garamond" w:hAnsi="Garamond"/>
          <w:sz w:val="26"/>
          <w:szCs w:val="26"/>
        </w:rPr>
      </w:pPr>
      <w:r w:rsidRPr="00792777">
        <w:rPr>
          <w:rFonts w:ascii="Garamond" w:eastAsia="Batang" w:hAnsi="Garamond"/>
          <w:bCs/>
          <w:sz w:val="26"/>
          <w:szCs w:val="26"/>
        </w:rPr>
        <w:t>П</w:t>
      </w:r>
      <w:r w:rsidR="00DD592F" w:rsidRPr="00792777">
        <w:rPr>
          <w:rFonts w:ascii="Garamond" w:eastAsia="Batang" w:hAnsi="Garamond"/>
          <w:bCs/>
          <w:sz w:val="26"/>
          <w:szCs w:val="26"/>
        </w:rPr>
        <w:t>редложения по изменениям и дополнениям в</w:t>
      </w:r>
      <w:r w:rsidR="0074250C" w:rsidRPr="00792777">
        <w:rPr>
          <w:rFonts w:ascii="Garamond" w:eastAsia="Batang" w:hAnsi="Garamond"/>
          <w:bCs/>
          <w:sz w:val="26"/>
          <w:szCs w:val="26"/>
        </w:rPr>
        <w:t xml:space="preserve"> </w:t>
      </w:r>
      <w:r w:rsidR="00C405D1" w:rsidRPr="00792777">
        <w:rPr>
          <w:rFonts w:ascii="Garamond" w:eastAsia="Batang" w:hAnsi="Garamond"/>
          <w:bCs/>
          <w:sz w:val="26"/>
          <w:szCs w:val="26"/>
        </w:rPr>
        <w:t>п</w:t>
      </w:r>
      <w:r w:rsidR="0074250C" w:rsidRPr="00792777">
        <w:rPr>
          <w:rFonts w:ascii="Garamond" w:eastAsia="Batang" w:hAnsi="Garamond"/>
          <w:bCs/>
          <w:sz w:val="26"/>
          <w:szCs w:val="26"/>
        </w:rPr>
        <w:t>риложение 3 к</w:t>
      </w:r>
      <w:r w:rsidR="00DD592F" w:rsidRPr="00792777">
        <w:rPr>
          <w:rFonts w:ascii="Garamond" w:hAnsi="Garamond"/>
          <w:sz w:val="26"/>
          <w:szCs w:val="26"/>
        </w:rPr>
        <w:t xml:space="preserve"> РЕГЛАМЕНТ</w:t>
      </w:r>
      <w:r w:rsidR="0074250C" w:rsidRPr="00792777">
        <w:rPr>
          <w:rFonts w:ascii="Garamond" w:hAnsi="Garamond"/>
          <w:sz w:val="26"/>
          <w:szCs w:val="26"/>
        </w:rPr>
        <w:t>У</w:t>
      </w:r>
      <w:r w:rsidR="00DD592F" w:rsidRPr="00792777">
        <w:rPr>
          <w:rFonts w:ascii="Garamond" w:hAnsi="Garamond"/>
          <w:sz w:val="26"/>
          <w:szCs w:val="26"/>
        </w:rPr>
        <w:t xml:space="preserve"> </w:t>
      </w:r>
      <w:r w:rsidR="00DD592F" w:rsidRPr="00792777">
        <w:rPr>
          <w:rFonts w:ascii="Garamond" w:hAnsi="Garamond"/>
          <w:caps/>
          <w:sz w:val="26"/>
          <w:szCs w:val="26"/>
        </w:rPr>
        <w:t xml:space="preserve">регистрации регулируемых договоров купли-продажи электроэнергии и мощности </w:t>
      </w:r>
      <w:r w:rsidR="00DD592F" w:rsidRPr="00792777">
        <w:rPr>
          <w:rFonts w:ascii="Garamond" w:hAnsi="Garamond"/>
          <w:sz w:val="26"/>
          <w:szCs w:val="26"/>
        </w:rPr>
        <w:t xml:space="preserve">(Приложение № 6.2 к </w:t>
      </w:r>
      <w:r w:rsidR="00DD592F" w:rsidRPr="00792777">
        <w:rPr>
          <w:rFonts w:ascii="Garamond" w:hAnsi="Garamond"/>
          <w:bCs/>
          <w:sz w:val="26"/>
          <w:szCs w:val="26"/>
        </w:rPr>
        <w:t>Договору о присоединении к торговой системе оптового рынка</w:t>
      </w:r>
      <w:r w:rsidR="00DD592F" w:rsidRPr="00792777">
        <w:rPr>
          <w:rFonts w:ascii="Garamond" w:hAnsi="Garamond"/>
          <w:sz w:val="26"/>
          <w:szCs w:val="26"/>
        </w:rPr>
        <w:t>)</w:t>
      </w:r>
    </w:p>
    <w:p w14:paraId="75C078B7" w14:textId="77777777" w:rsidR="00DD592F" w:rsidRPr="00792777" w:rsidRDefault="00DD592F" w:rsidP="00C405D1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662"/>
        <w:gridCol w:w="7045"/>
      </w:tblGrid>
      <w:tr w:rsidR="00DD592F" w:rsidRPr="00792777" w14:paraId="2D02A5A2" w14:textId="77777777" w:rsidTr="00792777">
        <w:tc>
          <w:tcPr>
            <w:tcW w:w="988" w:type="dxa"/>
            <w:vAlign w:val="center"/>
          </w:tcPr>
          <w:p w14:paraId="73E3F432" w14:textId="77777777" w:rsidR="00DD592F" w:rsidRPr="00792777" w:rsidRDefault="00DD592F" w:rsidP="00C405D1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92777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0B1C1BC7" w14:textId="77777777" w:rsidR="00DD592F" w:rsidRPr="00792777" w:rsidRDefault="00DD592F" w:rsidP="00C405D1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92777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50624D46" w14:textId="77777777" w:rsidR="00DD592F" w:rsidRPr="00792777" w:rsidRDefault="00DD592F" w:rsidP="00C405D1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792777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792777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663B682B" w14:textId="77777777" w:rsidR="00DD592F" w:rsidRPr="00792777" w:rsidRDefault="00DD592F" w:rsidP="00C405D1">
            <w:pPr>
              <w:jc w:val="center"/>
              <w:rPr>
                <w:rFonts w:ascii="Garamond" w:hAnsi="Garamond"/>
                <w:lang w:eastAsia="en-US"/>
              </w:rPr>
            </w:pPr>
            <w:r w:rsidRPr="00792777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45" w:type="dxa"/>
          </w:tcPr>
          <w:p w14:paraId="10182F7D" w14:textId="77777777" w:rsidR="00DD592F" w:rsidRPr="00792777" w:rsidRDefault="00DD592F" w:rsidP="00C405D1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92777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0AE2772D" w14:textId="77777777" w:rsidR="00DD592F" w:rsidRPr="00792777" w:rsidRDefault="00DD592F" w:rsidP="00C405D1">
            <w:pPr>
              <w:ind w:right="-55"/>
              <w:jc w:val="center"/>
              <w:rPr>
                <w:rFonts w:ascii="Garamond" w:hAnsi="Garamond"/>
                <w:lang w:eastAsia="en-US"/>
              </w:rPr>
            </w:pPr>
            <w:r w:rsidRPr="00792777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74250C" w:rsidRPr="00792777" w14:paraId="526CC517" w14:textId="77777777" w:rsidTr="00792777">
        <w:tc>
          <w:tcPr>
            <w:tcW w:w="988" w:type="dxa"/>
            <w:vAlign w:val="center"/>
          </w:tcPr>
          <w:p w14:paraId="5998F8BD" w14:textId="77777777" w:rsidR="0074250C" w:rsidRPr="00792777" w:rsidRDefault="005B1999" w:rsidP="008D338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792777">
              <w:rPr>
                <w:rFonts w:ascii="Garamond" w:hAnsi="Garamond"/>
                <w:b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6662" w:type="dxa"/>
          </w:tcPr>
          <w:p w14:paraId="5C8B5009" w14:textId="77777777" w:rsidR="005B1999" w:rsidRPr="00792777" w:rsidRDefault="005B1999" w:rsidP="002E5F0C">
            <w:pPr>
              <w:pStyle w:val="ae"/>
              <w:numPr>
                <w:ilvl w:val="1"/>
                <w:numId w:val="13"/>
              </w:numPr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0" w:name="_Toc274732065"/>
            <w:r w:rsidRPr="00792777">
              <w:rPr>
                <w:rFonts w:ascii="Garamond" w:hAnsi="Garamond"/>
                <w:b/>
                <w:sz w:val="22"/>
                <w:szCs w:val="22"/>
                <w:lang w:eastAsia="en-US"/>
              </w:rPr>
              <w:t>Типовые периоды, принятые при расчете схемы прикрепления</w:t>
            </w:r>
            <w:bookmarkEnd w:id="0"/>
          </w:p>
          <w:p w14:paraId="678A6041" w14:textId="77777777" w:rsidR="005B1999" w:rsidRPr="00792777" w:rsidRDefault="005B1999" w:rsidP="005B199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92777">
              <w:rPr>
                <w:rFonts w:ascii="Garamond" w:hAnsi="Garamond"/>
                <w:sz w:val="22"/>
                <w:szCs w:val="22"/>
                <w:lang w:eastAsia="en-US"/>
              </w:rPr>
              <w:t xml:space="preserve">С целью формирования схемы прикрепления по регулируемым договорам используются типовые периоды, однозначно определяющие соответствие каждого часа месяца года поставки по регулируемому договору определенным типовым периодам, представленным в календарях типовых периодов по каждой ценовой зоне. В математической модели схемы прикрепления регулируемых договоров участвуют усредненные типовые значения </w:t>
            </w:r>
            <w:r w:rsidRPr="00792777">
              <w:rPr>
                <w:rFonts w:ascii="Garamond" w:hAnsi="Garamond"/>
                <w:noProof/>
                <w:sz w:val="22"/>
                <w:szCs w:val="22"/>
              </w:rPr>
              <w:drawing>
                <wp:inline distT="0" distB="0" distL="0" distR="0" wp14:anchorId="5BEBAFA7" wp14:editId="7BBE815E">
                  <wp:extent cx="276225" cy="219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2777">
              <w:rPr>
                <w:rFonts w:ascii="Garamond" w:hAnsi="Garamond"/>
                <w:sz w:val="22"/>
                <w:szCs w:val="22"/>
                <w:lang w:eastAsia="en-US"/>
              </w:rPr>
              <w:t xml:space="preserve">, соответствующие определенному в календаре типовых периодов интервалу времени </w:t>
            </w:r>
            <w:r w:rsidRPr="00792777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792777">
              <w:rPr>
                <w:rFonts w:ascii="Garamond" w:hAnsi="Garamond"/>
                <w:sz w:val="22"/>
                <w:szCs w:val="22"/>
                <w:lang w:eastAsia="en-US"/>
              </w:rPr>
              <w:t xml:space="preserve"> = 1, …, 8760. Каждому типовому периоду задана длительность в часах </w:t>
            </w:r>
            <w:r w:rsidRPr="00792777">
              <w:rPr>
                <w:rFonts w:ascii="Garamond" w:hAnsi="Garamond"/>
                <w:noProof/>
                <w:sz w:val="22"/>
                <w:szCs w:val="22"/>
              </w:rPr>
              <w:drawing>
                <wp:inline distT="0" distB="0" distL="0" distR="0" wp14:anchorId="5675DBF9" wp14:editId="0284BDCC">
                  <wp:extent cx="670560" cy="1828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22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277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429B8889" w14:textId="77777777" w:rsidR="005B1999" w:rsidRPr="00792777" w:rsidRDefault="005B1999" w:rsidP="005B199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92777">
              <w:rPr>
                <w:rFonts w:ascii="Garamond" w:hAnsi="Garamond"/>
                <w:sz w:val="22"/>
                <w:szCs w:val="22"/>
                <w:lang w:eastAsia="en-US"/>
              </w:rPr>
              <w:t xml:space="preserve">Календари типовых периодов определены в следующих приложениях к Регламенту регистрации регулируемых договоров купли-продажи электроэнергии и мощности: </w:t>
            </w:r>
          </w:p>
          <w:p w14:paraId="63D1D153" w14:textId="77777777" w:rsidR="005B1999" w:rsidRPr="00792777" w:rsidRDefault="005B1999" w:rsidP="005B1999">
            <w:pPr>
              <w:spacing w:before="120" w:after="120"/>
              <w:ind w:left="1211" w:hanging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92777">
              <w:rPr>
                <w:rFonts w:ascii="Garamond" w:hAnsi="Garamond"/>
                <w:sz w:val="22"/>
                <w:szCs w:val="22"/>
                <w:lang w:eastAsia="en-US"/>
              </w:rPr>
              <w:t xml:space="preserve">− № 1 (Европа) – по первой ценовой зоне оптового рынка; </w:t>
            </w:r>
          </w:p>
          <w:p w14:paraId="03584A07" w14:textId="77777777" w:rsidR="005B1999" w:rsidRPr="00792777" w:rsidRDefault="005B1999" w:rsidP="005B1999">
            <w:pPr>
              <w:spacing w:before="120" w:after="120"/>
              <w:ind w:firstLine="851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92777">
              <w:rPr>
                <w:rFonts w:ascii="Garamond" w:hAnsi="Garamond"/>
                <w:sz w:val="22"/>
                <w:szCs w:val="22"/>
                <w:lang w:eastAsia="en-US"/>
              </w:rPr>
              <w:t>− № 1 (Сибирь) – по второй ценовой зоне оптового рынка</w:t>
            </w:r>
            <w:r w:rsidRPr="007927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6D1C9F18" w14:textId="77777777" w:rsidR="0074250C" w:rsidRPr="00792777" w:rsidRDefault="0074250C" w:rsidP="00C23828">
            <w:pPr>
              <w:spacing w:before="120" w:after="12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045" w:type="dxa"/>
          </w:tcPr>
          <w:p w14:paraId="7E105087" w14:textId="77777777" w:rsidR="005B1999" w:rsidRPr="00792777" w:rsidRDefault="005B1999" w:rsidP="002E5F0C">
            <w:pPr>
              <w:pStyle w:val="3"/>
              <w:numPr>
                <w:ilvl w:val="2"/>
                <w:numId w:val="12"/>
              </w:numPr>
              <w:rPr>
                <w:rFonts w:ascii="Garamond" w:hAnsi="Garamond"/>
                <w:szCs w:val="22"/>
              </w:rPr>
            </w:pPr>
            <w:r w:rsidRPr="00792777">
              <w:rPr>
                <w:rFonts w:ascii="Garamond" w:hAnsi="Garamond"/>
                <w:szCs w:val="22"/>
              </w:rPr>
              <w:t>Типовые периоды, принятые при расчете схемы прикрепления</w:t>
            </w:r>
          </w:p>
          <w:p w14:paraId="52EE5223" w14:textId="77777777" w:rsidR="005B1999" w:rsidRPr="00792777" w:rsidRDefault="005B1999" w:rsidP="005B199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92777">
              <w:rPr>
                <w:rFonts w:ascii="Garamond" w:hAnsi="Garamond"/>
                <w:sz w:val="22"/>
                <w:szCs w:val="22"/>
              </w:rPr>
              <w:t xml:space="preserve">С целью формирования схемы прикрепления по регулируемым договорам используются типовые периоды, однозначно определяющие соответствие каждого часа месяца года поставки по регулируемому договору определенным типовым периодам, представленным в календарях типовых периодов по каждой ценовой зоне. В математической модели схемы прикрепления регулируемых договоров участвуют усредненные типовые значения </w:t>
            </w:r>
            <w:r w:rsidRPr="00792777">
              <w:rPr>
                <w:rFonts w:ascii="Garamond" w:hAnsi="Garamond"/>
                <w:noProof/>
                <w:sz w:val="22"/>
                <w:szCs w:val="22"/>
              </w:rPr>
              <w:drawing>
                <wp:inline distT="0" distB="0" distL="0" distR="0" wp14:anchorId="3971E286" wp14:editId="610BF6FC">
                  <wp:extent cx="276225" cy="2190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2777">
              <w:rPr>
                <w:rFonts w:ascii="Garamond" w:hAnsi="Garamond"/>
                <w:sz w:val="22"/>
                <w:szCs w:val="22"/>
              </w:rPr>
              <w:t xml:space="preserve">, соответствующие определенному в календаре типовых периодов интервалу времени </w:t>
            </w:r>
            <w:r w:rsidRPr="00792777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792777">
              <w:rPr>
                <w:rFonts w:ascii="Garamond" w:hAnsi="Garamond"/>
                <w:sz w:val="22"/>
                <w:szCs w:val="22"/>
              </w:rPr>
              <w:t xml:space="preserve"> = 1, …, 8760. Каждому типовому периоду задана длительность в часах </w:t>
            </w:r>
            <w:r w:rsidRPr="00792777">
              <w:rPr>
                <w:rFonts w:ascii="Garamond" w:hAnsi="Garamond"/>
                <w:noProof/>
                <w:sz w:val="22"/>
                <w:szCs w:val="22"/>
              </w:rPr>
              <w:drawing>
                <wp:inline distT="0" distB="0" distL="0" distR="0" wp14:anchorId="230F1D41" wp14:editId="15E21C2F">
                  <wp:extent cx="670560" cy="1828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22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2777">
              <w:rPr>
                <w:rFonts w:ascii="Garamond" w:hAnsi="Garamond"/>
                <w:sz w:val="22"/>
                <w:szCs w:val="22"/>
              </w:rPr>
              <w:t>.</w:t>
            </w:r>
          </w:p>
          <w:p w14:paraId="1BD1F5BD" w14:textId="77777777" w:rsidR="005B1999" w:rsidRPr="00792777" w:rsidRDefault="005B1999" w:rsidP="005B199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92777">
              <w:rPr>
                <w:rFonts w:ascii="Garamond" w:hAnsi="Garamond"/>
                <w:sz w:val="22"/>
                <w:szCs w:val="22"/>
              </w:rPr>
              <w:t xml:space="preserve">Календари типовых периодов определены в следующих приложениях к Регламенту регистрации регулируемых договоров купли-продажи электроэнергии и мощности: </w:t>
            </w:r>
          </w:p>
          <w:p w14:paraId="60CD1226" w14:textId="77777777" w:rsidR="005B1999" w:rsidRPr="00792777" w:rsidRDefault="005B1999" w:rsidP="005B1999">
            <w:pPr>
              <w:spacing w:before="120" w:after="120"/>
              <w:ind w:left="1211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792777">
              <w:rPr>
                <w:rFonts w:ascii="Garamond" w:hAnsi="Garamond"/>
                <w:sz w:val="22"/>
                <w:szCs w:val="22"/>
              </w:rPr>
              <w:t xml:space="preserve">− № 1 (Европа) – по первой ценовой зоне оптового рынка; </w:t>
            </w:r>
          </w:p>
          <w:p w14:paraId="363E2860" w14:textId="5BBBB5C6" w:rsidR="005B1999" w:rsidRPr="00792777" w:rsidRDefault="005B1999" w:rsidP="002E5F0C">
            <w:pPr>
              <w:spacing w:before="120" w:after="120"/>
              <w:ind w:left="892" w:hanging="41"/>
              <w:jc w:val="both"/>
              <w:rPr>
                <w:rFonts w:ascii="Garamond" w:hAnsi="Garamond"/>
                <w:sz w:val="22"/>
                <w:szCs w:val="22"/>
              </w:rPr>
            </w:pPr>
            <w:r w:rsidRPr="00792777">
              <w:rPr>
                <w:rFonts w:ascii="Garamond" w:hAnsi="Garamond"/>
                <w:sz w:val="22"/>
                <w:szCs w:val="22"/>
              </w:rPr>
              <w:t>− № 1 (Сибирь) – по второй ценовой зоне оптового рынка</w:t>
            </w:r>
            <w:r w:rsidR="00792777" w:rsidRPr="0079277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792777">
              <w:rPr>
                <w:rFonts w:ascii="Garamond" w:hAnsi="Garamond"/>
                <w:sz w:val="22"/>
                <w:szCs w:val="22"/>
                <w:highlight w:val="yellow"/>
              </w:rPr>
              <w:t xml:space="preserve"> з</w:t>
            </w:r>
            <w:bookmarkStart w:id="1" w:name="_GoBack"/>
            <w:bookmarkEnd w:id="1"/>
            <w:r w:rsidRPr="00792777">
              <w:rPr>
                <w:rFonts w:ascii="Garamond" w:hAnsi="Garamond"/>
                <w:sz w:val="22"/>
                <w:szCs w:val="22"/>
                <w:highlight w:val="yellow"/>
              </w:rPr>
              <w:t>а исключением входящей в состав Дальневосточного федерального округа отдельной территории, ранее относившейся к неценовым зонам</w:t>
            </w:r>
            <w:r w:rsidR="00237229" w:rsidRPr="0079277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099FCC49" w14:textId="77777777" w:rsidR="0074250C" w:rsidRPr="00792777" w:rsidRDefault="005B1999" w:rsidP="00237229">
            <w:pPr>
              <w:spacing w:before="120" w:after="120"/>
              <w:ind w:left="892" w:hanging="41"/>
              <w:jc w:val="both"/>
              <w:rPr>
                <w:rFonts w:ascii="Garamond" w:hAnsi="Garamond"/>
                <w:sz w:val="22"/>
                <w:szCs w:val="22"/>
              </w:rPr>
            </w:pPr>
            <w:r w:rsidRPr="00792777">
              <w:rPr>
                <w:rFonts w:ascii="Garamond" w:hAnsi="Garamond"/>
                <w:sz w:val="22"/>
                <w:szCs w:val="22"/>
                <w:highlight w:val="yellow"/>
              </w:rPr>
              <w:t xml:space="preserve">− № 1 (Дальний Восток) – </w:t>
            </w:r>
            <w:r w:rsidR="00237229" w:rsidRPr="00792777">
              <w:rPr>
                <w:rFonts w:ascii="Garamond" w:hAnsi="Garamond"/>
                <w:sz w:val="22"/>
                <w:szCs w:val="22"/>
                <w:highlight w:val="yellow"/>
              </w:rPr>
              <w:t xml:space="preserve">по </w:t>
            </w:r>
            <w:r w:rsidRPr="00792777">
              <w:rPr>
                <w:rFonts w:ascii="Garamond" w:hAnsi="Garamond"/>
                <w:sz w:val="22"/>
                <w:szCs w:val="22"/>
                <w:highlight w:val="yellow"/>
              </w:rPr>
              <w:t>входящей в состав Дальневосточного федерального округа отдельной территории, ранее относившейся к неценовым зонам</w:t>
            </w:r>
            <w:r w:rsidR="00237229" w:rsidRPr="0079277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</w:tr>
    </w:tbl>
    <w:p w14:paraId="31D1E284" w14:textId="77777777" w:rsidR="004B2A04" w:rsidRPr="00792777" w:rsidRDefault="004B2A04" w:rsidP="001F506A">
      <w:pPr>
        <w:spacing w:after="160" w:line="259" w:lineRule="auto"/>
        <w:rPr>
          <w:rFonts w:ascii="Garamond" w:hAnsi="Garamond"/>
          <w:b/>
          <w:bCs/>
          <w:sz w:val="26"/>
          <w:szCs w:val="26"/>
        </w:rPr>
      </w:pPr>
    </w:p>
    <w:sectPr w:rsidR="004B2A04" w:rsidRPr="00792777" w:rsidSect="00792777">
      <w:footerReference w:type="default" r:id="rId9"/>
      <w:pgSz w:w="16838" w:h="11906" w:orient="landscape"/>
      <w:pgMar w:top="1134" w:right="851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165EF" w14:textId="77777777" w:rsidR="00530F4D" w:rsidRDefault="00530F4D" w:rsidP="00237229">
      <w:r>
        <w:separator/>
      </w:r>
    </w:p>
  </w:endnote>
  <w:endnote w:type="continuationSeparator" w:id="0">
    <w:p w14:paraId="120A3228" w14:textId="77777777" w:rsidR="00530F4D" w:rsidRDefault="00530F4D" w:rsidP="00237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35890"/>
      <w:docPartObj>
        <w:docPartGallery w:val="Page Numbers (Bottom of Page)"/>
        <w:docPartUnique/>
      </w:docPartObj>
    </w:sdtPr>
    <w:sdtEndPr/>
    <w:sdtContent>
      <w:p w14:paraId="5FE84EF4" w14:textId="7A1E8E00" w:rsidR="00237229" w:rsidRDefault="0023722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777">
          <w:rPr>
            <w:noProof/>
          </w:rPr>
          <w:t>2</w:t>
        </w:r>
        <w:r>
          <w:fldChar w:fldCharType="end"/>
        </w:r>
      </w:p>
    </w:sdtContent>
  </w:sdt>
  <w:p w14:paraId="6E29D53B" w14:textId="77777777" w:rsidR="00237229" w:rsidRDefault="0023722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79956" w14:textId="77777777" w:rsidR="00530F4D" w:rsidRDefault="00530F4D" w:rsidP="00237229">
      <w:r>
        <w:separator/>
      </w:r>
    </w:p>
  </w:footnote>
  <w:footnote w:type="continuationSeparator" w:id="0">
    <w:p w14:paraId="563D7AC7" w14:textId="77777777" w:rsidR="00530F4D" w:rsidRDefault="00530F4D" w:rsidP="00237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BEC75B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  <w:szCs w:val="22"/>
      </w:rPr>
    </w:lvl>
    <w:lvl w:ilvl="2">
      <w:start w:val="1"/>
      <w:numFmt w:val="decimal"/>
      <w:pStyle w:val="3"/>
      <w:lvlText w:val="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russianLow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A685ECE"/>
    <w:multiLevelType w:val="multilevel"/>
    <w:tmpl w:val="977886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3E7305"/>
    <w:multiLevelType w:val="hybridMultilevel"/>
    <w:tmpl w:val="99666460"/>
    <w:lvl w:ilvl="0" w:tplc="49581C2C">
      <w:start w:val="1"/>
      <w:numFmt w:val="bullet"/>
      <w:lvlText w:val="−"/>
      <w:lvlJc w:val="left"/>
      <w:pPr>
        <w:tabs>
          <w:tab w:val="num" w:pos="399"/>
        </w:tabs>
        <w:ind w:left="1209" w:hanging="360"/>
      </w:pPr>
      <w:rPr>
        <w:rFonts w:ascii="Garamond" w:hAnsi="Garamond" w:cs="Lucida Console" w:hint="default"/>
        <w:b w:val="0"/>
        <w:i w:val="0"/>
        <w:sz w:val="28"/>
        <w:szCs w:val="28"/>
        <w:u w:val="no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F0C41"/>
    <w:multiLevelType w:val="multilevel"/>
    <w:tmpl w:val="7EDC40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77C56B0"/>
    <w:multiLevelType w:val="hybridMultilevel"/>
    <w:tmpl w:val="6BEC9CC0"/>
    <w:lvl w:ilvl="0" w:tplc="81565B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53A442E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2F0676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FCAE92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2402BC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156F7B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1EC581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C5E2B7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C2CA83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0C76674"/>
    <w:multiLevelType w:val="multilevel"/>
    <w:tmpl w:val="9D0A17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85F0402"/>
    <w:multiLevelType w:val="multilevel"/>
    <w:tmpl w:val="C24443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9" w15:restartNumberingAfterBreak="0">
    <w:nsid w:val="7DDC3DDB"/>
    <w:multiLevelType w:val="hybridMultilevel"/>
    <w:tmpl w:val="56207C08"/>
    <w:lvl w:ilvl="0" w:tplc="04190001">
      <w:start w:val="1"/>
      <w:numFmt w:val="decimal"/>
      <w:lvlText w:val="%1)"/>
      <w:lvlJc w:val="left"/>
      <w:pPr>
        <w:ind w:left="780" w:hanging="360"/>
      </w:pPr>
      <w:rPr>
        <w:rFonts w:cs="Times New Roman"/>
        <w:sz w:val="22"/>
        <w:szCs w:val="22"/>
      </w:rPr>
    </w:lvl>
    <w:lvl w:ilvl="1" w:tplc="F1EC7360" w:tentative="1">
      <w:start w:val="1"/>
      <w:numFmt w:val="lowerLetter"/>
      <w:lvlText w:val="%2."/>
      <w:lvlJc w:val="left"/>
      <w:pPr>
        <w:ind w:left="1500" w:hanging="360"/>
      </w:pPr>
    </w:lvl>
    <w:lvl w:ilvl="2" w:tplc="BDDC35CA" w:tentative="1">
      <w:start w:val="1"/>
      <w:numFmt w:val="lowerRoman"/>
      <w:lvlText w:val="%3."/>
      <w:lvlJc w:val="right"/>
      <w:pPr>
        <w:ind w:left="2220" w:hanging="180"/>
      </w:pPr>
    </w:lvl>
    <w:lvl w:ilvl="3" w:tplc="182E142A" w:tentative="1">
      <w:start w:val="1"/>
      <w:numFmt w:val="decimal"/>
      <w:lvlText w:val="%4."/>
      <w:lvlJc w:val="left"/>
      <w:pPr>
        <w:ind w:left="2940" w:hanging="360"/>
      </w:pPr>
    </w:lvl>
    <w:lvl w:ilvl="4" w:tplc="094E5272" w:tentative="1">
      <w:start w:val="1"/>
      <w:numFmt w:val="lowerLetter"/>
      <w:lvlText w:val="%5."/>
      <w:lvlJc w:val="left"/>
      <w:pPr>
        <w:ind w:left="3660" w:hanging="360"/>
      </w:pPr>
    </w:lvl>
    <w:lvl w:ilvl="5" w:tplc="75B87E0A" w:tentative="1">
      <w:start w:val="1"/>
      <w:numFmt w:val="lowerRoman"/>
      <w:lvlText w:val="%6."/>
      <w:lvlJc w:val="right"/>
      <w:pPr>
        <w:ind w:left="4380" w:hanging="180"/>
      </w:pPr>
    </w:lvl>
    <w:lvl w:ilvl="6" w:tplc="B7EC6AAC" w:tentative="1">
      <w:start w:val="1"/>
      <w:numFmt w:val="decimal"/>
      <w:lvlText w:val="%7."/>
      <w:lvlJc w:val="left"/>
      <w:pPr>
        <w:ind w:left="5100" w:hanging="360"/>
      </w:pPr>
    </w:lvl>
    <w:lvl w:ilvl="7" w:tplc="A3546A22" w:tentative="1">
      <w:start w:val="1"/>
      <w:numFmt w:val="lowerLetter"/>
      <w:lvlText w:val="%8."/>
      <w:lvlJc w:val="left"/>
      <w:pPr>
        <w:ind w:left="5820" w:hanging="360"/>
      </w:pPr>
    </w:lvl>
    <w:lvl w:ilvl="8" w:tplc="06369046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2F"/>
    <w:rsid w:val="000631E1"/>
    <w:rsid w:val="00083D09"/>
    <w:rsid w:val="000A0BB7"/>
    <w:rsid w:val="000E461C"/>
    <w:rsid w:val="00145D3B"/>
    <w:rsid w:val="00164F76"/>
    <w:rsid w:val="00172510"/>
    <w:rsid w:val="00175093"/>
    <w:rsid w:val="001853E1"/>
    <w:rsid w:val="00192805"/>
    <w:rsid w:val="001A49BB"/>
    <w:rsid w:val="001F41E5"/>
    <w:rsid w:val="001F506A"/>
    <w:rsid w:val="00237229"/>
    <w:rsid w:val="0028460A"/>
    <w:rsid w:val="002A2CC1"/>
    <w:rsid w:val="002D1139"/>
    <w:rsid w:val="002E5F0C"/>
    <w:rsid w:val="002F0AFC"/>
    <w:rsid w:val="002F464F"/>
    <w:rsid w:val="00330ADD"/>
    <w:rsid w:val="003329C4"/>
    <w:rsid w:val="00342B51"/>
    <w:rsid w:val="0036604D"/>
    <w:rsid w:val="00424B9C"/>
    <w:rsid w:val="00427A40"/>
    <w:rsid w:val="0044795D"/>
    <w:rsid w:val="004824E0"/>
    <w:rsid w:val="004A7DA9"/>
    <w:rsid w:val="004B09A1"/>
    <w:rsid w:val="004B2072"/>
    <w:rsid w:val="004B2A04"/>
    <w:rsid w:val="004B406E"/>
    <w:rsid w:val="004B797D"/>
    <w:rsid w:val="004D6C99"/>
    <w:rsid w:val="004F7D7E"/>
    <w:rsid w:val="00510EAF"/>
    <w:rsid w:val="00530F4D"/>
    <w:rsid w:val="00531554"/>
    <w:rsid w:val="005442E8"/>
    <w:rsid w:val="00552F11"/>
    <w:rsid w:val="00581B35"/>
    <w:rsid w:val="005A6CC5"/>
    <w:rsid w:val="005B1999"/>
    <w:rsid w:val="005C65F2"/>
    <w:rsid w:val="005D78CC"/>
    <w:rsid w:val="00607A4D"/>
    <w:rsid w:val="006467AF"/>
    <w:rsid w:val="00673F80"/>
    <w:rsid w:val="006C458E"/>
    <w:rsid w:val="006D4388"/>
    <w:rsid w:val="006F35D9"/>
    <w:rsid w:val="007349DA"/>
    <w:rsid w:val="00737989"/>
    <w:rsid w:val="0074250C"/>
    <w:rsid w:val="007629B8"/>
    <w:rsid w:val="00776020"/>
    <w:rsid w:val="00792777"/>
    <w:rsid w:val="007A09FC"/>
    <w:rsid w:val="007A6086"/>
    <w:rsid w:val="007D353E"/>
    <w:rsid w:val="00836809"/>
    <w:rsid w:val="00862FFF"/>
    <w:rsid w:val="008E02FB"/>
    <w:rsid w:val="00906A53"/>
    <w:rsid w:val="00982A7D"/>
    <w:rsid w:val="009A25F5"/>
    <w:rsid w:val="009C431A"/>
    <w:rsid w:val="009F6041"/>
    <w:rsid w:val="00A30283"/>
    <w:rsid w:val="00A36837"/>
    <w:rsid w:val="00A8012C"/>
    <w:rsid w:val="00A86280"/>
    <w:rsid w:val="00AD36AB"/>
    <w:rsid w:val="00AD641E"/>
    <w:rsid w:val="00B107D4"/>
    <w:rsid w:val="00B206AA"/>
    <w:rsid w:val="00B4353C"/>
    <w:rsid w:val="00BF1438"/>
    <w:rsid w:val="00C0721C"/>
    <w:rsid w:val="00C1696D"/>
    <w:rsid w:val="00C21FC9"/>
    <w:rsid w:val="00C23828"/>
    <w:rsid w:val="00C405D1"/>
    <w:rsid w:val="00C5077E"/>
    <w:rsid w:val="00C647DC"/>
    <w:rsid w:val="00C64966"/>
    <w:rsid w:val="00CC048E"/>
    <w:rsid w:val="00CD1735"/>
    <w:rsid w:val="00CD1877"/>
    <w:rsid w:val="00CD441D"/>
    <w:rsid w:val="00CD4452"/>
    <w:rsid w:val="00CE63AC"/>
    <w:rsid w:val="00D173E8"/>
    <w:rsid w:val="00D323AD"/>
    <w:rsid w:val="00D6340B"/>
    <w:rsid w:val="00D64C0A"/>
    <w:rsid w:val="00DC2517"/>
    <w:rsid w:val="00DD592F"/>
    <w:rsid w:val="00DF5ECB"/>
    <w:rsid w:val="00E07261"/>
    <w:rsid w:val="00E160EB"/>
    <w:rsid w:val="00E3105A"/>
    <w:rsid w:val="00E71F7D"/>
    <w:rsid w:val="00E91B76"/>
    <w:rsid w:val="00EC5E74"/>
    <w:rsid w:val="00EF50F5"/>
    <w:rsid w:val="00EF73F6"/>
    <w:rsid w:val="00F3299C"/>
    <w:rsid w:val="00F66583"/>
    <w:rsid w:val="00F76FFA"/>
    <w:rsid w:val="00FE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B635E"/>
  <w15:chartTrackingRefBased/>
  <w15:docId w15:val="{CDE07E38-66DA-47D3-B781-065BB8BE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qFormat/>
    <w:rsid w:val="00DD592F"/>
    <w:pPr>
      <w:keepNext/>
      <w:pageBreakBefore/>
      <w:numPr>
        <w:numId w:val="1"/>
      </w:numPr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">
    <w:name w:val="heading 2"/>
    <w:aliases w:val="Заголовок пункта (1.1),h2,h21,Reset numbering,5,222"/>
    <w:basedOn w:val="a"/>
    <w:next w:val="3"/>
    <w:link w:val="20"/>
    <w:qFormat/>
    <w:rsid w:val="00DD592F"/>
    <w:pPr>
      <w:keepNext/>
      <w:numPr>
        <w:ilvl w:val="1"/>
        <w:numId w:val="1"/>
      </w:numPr>
      <w:spacing w:before="180" w:after="180"/>
      <w:jc w:val="both"/>
      <w:outlineLvl w:val="1"/>
    </w:pPr>
    <w:rPr>
      <w:b/>
      <w:szCs w:val="20"/>
      <w:lang w:eastAsia="en-US"/>
    </w:rPr>
  </w:style>
  <w:style w:type="paragraph" w:styleId="3">
    <w:name w:val="heading 3"/>
    <w:aliases w:val="Заголовок подпукта (1.1.1),Level 1 - 1,H3,o"/>
    <w:basedOn w:val="a"/>
    <w:link w:val="31"/>
    <w:qFormat/>
    <w:rsid w:val="00DD592F"/>
    <w:pPr>
      <w:numPr>
        <w:ilvl w:val="2"/>
        <w:numId w:val="1"/>
      </w:numPr>
      <w:spacing w:before="120" w:after="120"/>
      <w:jc w:val="both"/>
      <w:outlineLvl w:val="2"/>
    </w:pPr>
    <w:rPr>
      <w:b/>
      <w:sz w:val="22"/>
      <w:szCs w:val="20"/>
      <w:lang w:eastAsia="en-US"/>
    </w:rPr>
  </w:style>
  <w:style w:type="paragraph" w:styleId="4">
    <w:name w:val="heading 4"/>
    <w:aliases w:val="Sub-Minor,Level 2 - a,H4,H41"/>
    <w:basedOn w:val="a"/>
    <w:link w:val="40"/>
    <w:qFormat/>
    <w:rsid w:val="00DD592F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DD592F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DD592F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DD592F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DD592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DD592F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DD592F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20">
    <w:name w:val="Заголовок 2 Знак"/>
    <w:aliases w:val="Заголовок пункта (1.1) Знак,h2 Знак,h21 Знак,Reset numbering Знак,5 Знак,222 Знак"/>
    <w:basedOn w:val="a0"/>
    <w:link w:val="2"/>
    <w:rsid w:val="00DD592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1">
    <w:name w:val="Заголовок 3 Знак"/>
    <w:aliases w:val="Заголовок подпукта (1.1.1) Знак,Level 1 - 1 Знак,H3 Знак,o Знак"/>
    <w:basedOn w:val="a0"/>
    <w:link w:val="3"/>
    <w:rsid w:val="00DD592F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rsid w:val="00DD592F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DD592F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DD592F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DD592F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rsid w:val="00DD592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rsid w:val="00DD592F"/>
    <w:rPr>
      <w:rFonts w:ascii="Arial" w:eastAsia="Times New Roman" w:hAnsi="Arial" w:cs="Times New Roman"/>
      <w:i/>
      <w:sz w:val="18"/>
      <w:szCs w:val="20"/>
    </w:rPr>
  </w:style>
  <w:style w:type="table" w:styleId="a3">
    <w:name w:val="Table Grid"/>
    <w:basedOn w:val="a1"/>
    <w:uiPriority w:val="39"/>
    <w:rsid w:val="00DD5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clauseindent">
    <w:name w:val="subclauseindent"/>
    <w:basedOn w:val="a"/>
    <w:rsid w:val="005442E8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Iauiue">
    <w:name w:val="Iau?iue"/>
    <w:rsid w:val="00B435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Revision"/>
    <w:hidden/>
    <w:uiPriority w:val="99"/>
    <w:semiHidden/>
    <w:rsid w:val="00DC2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List Bullet 3"/>
    <w:basedOn w:val="a"/>
    <w:autoRedefine/>
    <w:rsid w:val="00E71F7D"/>
    <w:pPr>
      <w:numPr>
        <w:numId w:val="8"/>
      </w:numPr>
      <w:tabs>
        <w:tab w:val="clear" w:pos="1040"/>
        <w:tab w:val="num" w:pos="2913"/>
      </w:tabs>
      <w:spacing w:before="180" w:after="60"/>
      <w:ind w:left="2894"/>
    </w:pPr>
    <w:rPr>
      <w:sz w:val="22"/>
      <w:szCs w:val="20"/>
      <w:lang w:eastAsia="en-US"/>
    </w:rPr>
  </w:style>
  <w:style w:type="character" w:styleId="a5">
    <w:name w:val="annotation reference"/>
    <w:basedOn w:val="a0"/>
    <w:uiPriority w:val="99"/>
    <w:semiHidden/>
    <w:unhideWhenUsed/>
    <w:rsid w:val="006467A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467A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467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467A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467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ody Text"/>
    <w:basedOn w:val="a"/>
    <w:link w:val="ab"/>
    <w:rsid w:val="00C1696D"/>
    <w:pPr>
      <w:spacing w:before="120" w:after="120"/>
      <w:jc w:val="both"/>
    </w:pPr>
    <w:rPr>
      <w:sz w:val="22"/>
      <w:szCs w:val="20"/>
      <w:lang w:eastAsia="en-US"/>
    </w:rPr>
  </w:style>
  <w:style w:type="character" w:customStyle="1" w:styleId="ab">
    <w:name w:val="Основной текст Знак"/>
    <w:basedOn w:val="a0"/>
    <w:link w:val="aa"/>
    <w:rsid w:val="00C1696D"/>
    <w:rPr>
      <w:rFonts w:ascii="Times New Roman" w:eastAsia="Times New Roman" w:hAnsi="Times New Roman" w:cs="Times New Roman"/>
      <w:szCs w:val="20"/>
    </w:rPr>
  </w:style>
  <w:style w:type="paragraph" w:customStyle="1" w:styleId="ConsPlusNormal">
    <w:name w:val="ConsPlusNormal"/>
    <w:rsid w:val="00C169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7DA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7DA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E5F0C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23722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372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3722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72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 Алексей Юрьевич</dc:creator>
  <cp:keywords/>
  <dc:description/>
  <cp:lastModifiedBy>Пряхина Ирина Игоревна</cp:lastModifiedBy>
  <cp:revision>19</cp:revision>
  <dcterms:created xsi:type="dcterms:W3CDTF">2024-10-15T09:57:00Z</dcterms:created>
  <dcterms:modified xsi:type="dcterms:W3CDTF">2025-02-22T02:17:00Z</dcterms:modified>
</cp:coreProperties>
</file>