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F7302E" w14:textId="77777777" w:rsidR="004B3FB1" w:rsidRPr="003701AB" w:rsidRDefault="004B3FB1" w:rsidP="00404CD3">
      <w:pPr>
        <w:suppressAutoHyphens w:val="0"/>
        <w:spacing w:before="0"/>
        <w:ind w:right="-11"/>
        <w:rPr>
          <w:rFonts w:eastAsia="Calibri" w:cs="Arial"/>
          <w:b/>
          <w:sz w:val="28"/>
          <w:szCs w:val="28"/>
          <w:lang w:eastAsia="en-US"/>
        </w:rPr>
      </w:pPr>
      <w:r>
        <w:rPr>
          <w:rFonts w:eastAsia="Calibri" w:cs="Arial"/>
          <w:b/>
          <w:sz w:val="28"/>
          <w:szCs w:val="28"/>
          <w:lang w:val="en-US" w:eastAsia="en-US"/>
        </w:rPr>
        <w:t>VI</w:t>
      </w:r>
      <w:r w:rsidRPr="000669EB">
        <w:rPr>
          <w:rFonts w:eastAsia="Calibri" w:cs="Arial"/>
          <w:b/>
          <w:sz w:val="28"/>
          <w:szCs w:val="28"/>
          <w:lang w:eastAsia="en-US"/>
        </w:rPr>
        <w:t>.4. Изменения, связанные с определением групп точек поставки генерации на оптовом рынке электроэнергии</w:t>
      </w:r>
    </w:p>
    <w:p w14:paraId="3F005630" w14:textId="77777777" w:rsidR="004B3FB1" w:rsidRDefault="004B3FB1" w:rsidP="00404CD3">
      <w:pPr>
        <w:suppressAutoHyphens w:val="0"/>
        <w:spacing w:before="0"/>
        <w:ind w:right="-11"/>
        <w:jc w:val="right"/>
        <w:rPr>
          <w:rFonts w:eastAsia="Calibri" w:cs="Arial"/>
          <w:b/>
          <w:sz w:val="28"/>
          <w:szCs w:val="28"/>
          <w:lang w:eastAsia="en-US"/>
        </w:rPr>
      </w:pPr>
    </w:p>
    <w:p w14:paraId="0AF7447C" w14:textId="195D1F04" w:rsidR="004B3FB1" w:rsidRDefault="004B3FB1" w:rsidP="00404CD3">
      <w:pPr>
        <w:suppressAutoHyphens w:val="0"/>
        <w:spacing w:before="0"/>
        <w:ind w:right="-11"/>
        <w:jc w:val="right"/>
        <w:rPr>
          <w:rFonts w:eastAsia="Calibri" w:cs="Arial"/>
          <w:b/>
          <w:sz w:val="28"/>
          <w:szCs w:val="28"/>
          <w:lang w:eastAsia="en-US"/>
        </w:rPr>
      </w:pPr>
      <w:r w:rsidRPr="008B2A02">
        <w:rPr>
          <w:rFonts w:eastAsia="Calibri" w:cs="Arial"/>
          <w:b/>
          <w:sz w:val="28"/>
          <w:szCs w:val="28"/>
          <w:lang w:eastAsia="en-US"/>
        </w:rPr>
        <w:t>Приложение №</w:t>
      </w:r>
      <w:r w:rsidRPr="009056BD">
        <w:rPr>
          <w:rFonts w:eastAsia="Calibri" w:cs="Arial"/>
          <w:b/>
          <w:sz w:val="28"/>
          <w:szCs w:val="28"/>
          <w:lang w:eastAsia="en-US"/>
        </w:rPr>
        <w:t xml:space="preserve"> </w:t>
      </w:r>
      <w:r>
        <w:rPr>
          <w:rFonts w:eastAsia="Calibri" w:cs="Arial"/>
          <w:b/>
          <w:sz w:val="28"/>
          <w:szCs w:val="28"/>
          <w:lang w:eastAsia="en-US"/>
        </w:rPr>
        <w:t>6.4</w:t>
      </w:r>
    </w:p>
    <w:p w14:paraId="247B97A6" w14:textId="77777777" w:rsidR="00404CD3" w:rsidRDefault="00404CD3" w:rsidP="00404CD3">
      <w:pPr>
        <w:suppressAutoHyphens w:val="0"/>
        <w:spacing w:before="0"/>
        <w:ind w:right="-11"/>
        <w:jc w:val="right"/>
        <w:rPr>
          <w:rFonts w:eastAsia="Calibri" w:cs="Arial"/>
          <w:b/>
          <w:sz w:val="28"/>
          <w:szCs w:val="28"/>
          <w:lang w:eastAsia="en-US"/>
        </w:rPr>
      </w:pPr>
    </w:p>
    <w:p w14:paraId="6E92BFD3" w14:textId="77777777" w:rsidR="00656A4B" w:rsidRPr="00404CD3" w:rsidRDefault="00656A4B" w:rsidP="00404C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before="0"/>
        <w:jc w:val="both"/>
        <w:rPr>
          <w:rFonts w:eastAsia="Calibri" w:cs="Times New Roman"/>
          <w:color w:val="FF0000"/>
          <w:sz w:val="24"/>
          <w:szCs w:val="24"/>
          <w:lang w:eastAsia="en-US"/>
        </w:rPr>
      </w:pPr>
      <w:r w:rsidRPr="00404CD3">
        <w:rPr>
          <w:rFonts w:eastAsia="Times New Roman"/>
          <w:b/>
          <w:bCs/>
          <w:sz w:val="24"/>
          <w:szCs w:val="24"/>
          <w:lang w:eastAsia="ru-RU"/>
        </w:rPr>
        <w:t>Инициатор:</w:t>
      </w:r>
      <w:r w:rsidRPr="00404CD3">
        <w:rPr>
          <w:rFonts w:eastAsia="Calibri" w:cs="Times New Roman"/>
          <w:sz w:val="24"/>
          <w:szCs w:val="24"/>
          <w:lang w:eastAsia="en-US"/>
        </w:rPr>
        <w:t xml:space="preserve"> </w:t>
      </w:r>
      <w:r w:rsidRPr="00404CD3">
        <w:rPr>
          <w:sz w:val="24"/>
          <w:szCs w:val="24"/>
        </w:rPr>
        <w:t>АО «Кузбассэнерго».</w:t>
      </w:r>
    </w:p>
    <w:p w14:paraId="0F8340BE" w14:textId="77EBCAEE" w:rsidR="00656A4B" w:rsidRPr="00404CD3" w:rsidRDefault="00656A4B" w:rsidP="00404C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900"/>
        </w:tabs>
        <w:suppressAutoHyphens w:val="0"/>
        <w:spacing w:before="0"/>
        <w:jc w:val="both"/>
        <w:rPr>
          <w:rFonts w:eastAsia="Calibri" w:cs="Times New Roman"/>
          <w:sz w:val="24"/>
          <w:szCs w:val="24"/>
          <w:lang w:eastAsia="en-US"/>
        </w:rPr>
      </w:pPr>
      <w:r w:rsidRPr="00404CD3">
        <w:rPr>
          <w:rFonts w:eastAsia="Calibri" w:cs="Times New Roman"/>
          <w:b/>
          <w:sz w:val="24"/>
          <w:szCs w:val="24"/>
          <w:lang w:eastAsia="en-US"/>
        </w:rPr>
        <w:t>Обоснование:</w:t>
      </w:r>
      <w:r w:rsidRPr="00404CD3">
        <w:rPr>
          <w:rFonts w:eastAsia="Calibri" w:cs="Times New Roman"/>
          <w:sz w:val="24"/>
          <w:szCs w:val="24"/>
          <w:lang w:eastAsia="en-US"/>
        </w:rPr>
        <w:t xml:space="preserve"> необходимо скорректировать условие объединения в одну ГТП совокупности единиц генерирующего оборудования, состоящего из генерирующего оборудо</w:t>
      </w:r>
      <w:bookmarkStart w:id="0" w:name="_GoBack"/>
      <w:bookmarkEnd w:id="0"/>
      <w:r w:rsidRPr="00404CD3">
        <w:rPr>
          <w:rFonts w:eastAsia="Calibri" w:cs="Times New Roman"/>
          <w:sz w:val="24"/>
          <w:szCs w:val="24"/>
          <w:lang w:eastAsia="en-US"/>
        </w:rPr>
        <w:t>вания с давлением острого пара более 9 МПа и генерирующего оборудования с давлением острого пара 9 МПа и менее, в случаях</w:t>
      </w:r>
      <w:r w:rsidR="006F31AC" w:rsidRPr="00404CD3">
        <w:rPr>
          <w:rFonts w:eastAsia="Calibri" w:cs="Times New Roman"/>
          <w:sz w:val="24"/>
          <w:szCs w:val="24"/>
          <w:lang w:eastAsia="en-US"/>
        </w:rPr>
        <w:t xml:space="preserve">, когда </w:t>
      </w:r>
      <w:r w:rsidRPr="00404CD3">
        <w:rPr>
          <w:rFonts w:eastAsia="Calibri" w:cs="Times New Roman"/>
          <w:sz w:val="24"/>
          <w:szCs w:val="24"/>
          <w:lang w:eastAsia="en-US"/>
        </w:rPr>
        <w:t>снабжение паром генерирующего оборудования</w:t>
      </w:r>
      <w:r w:rsidR="00404CD3">
        <w:rPr>
          <w:rFonts w:eastAsia="Calibri" w:cs="Times New Roman"/>
          <w:sz w:val="24"/>
          <w:szCs w:val="24"/>
          <w:lang w:eastAsia="en-US"/>
        </w:rPr>
        <w:t>,</w:t>
      </w:r>
      <w:r w:rsidRPr="00404CD3">
        <w:rPr>
          <w:rFonts w:eastAsia="Calibri" w:cs="Times New Roman"/>
          <w:sz w:val="24"/>
          <w:szCs w:val="24"/>
          <w:lang w:eastAsia="en-US"/>
        </w:rPr>
        <w:t xml:space="preserve"> </w:t>
      </w:r>
      <w:r w:rsidR="006F31AC" w:rsidRPr="00404CD3">
        <w:rPr>
          <w:rFonts w:eastAsia="Calibri" w:cs="Times New Roman"/>
          <w:sz w:val="24"/>
          <w:szCs w:val="24"/>
          <w:lang w:eastAsia="en-US"/>
        </w:rPr>
        <w:t xml:space="preserve">кроме пара от </w:t>
      </w:r>
      <w:proofErr w:type="spellStart"/>
      <w:r w:rsidRPr="00404CD3">
        <w:rPr>
          <w:rFonts w:eastAsia="Calibri" w:cs="Times New Roman"/>
          <w:sz w:val="24"/>
          <w:szCs w:val="24"/>
          <w:lang w:eastAsia="en-US"/>
        </w:rPr>
        <w:t>предвключ</w:t>
      </w:r>
      <w:r w:rsidR="00404CD3" w:rsidRPr="00404CD3">
        <w:rPr>
          <w:rFonts w:eastAsia="Calibri" w:cs="Times New Roman"/>
          <w:sz w:val="24"/>
          <w:szCs w:val="24"/>
          <w:lang w:eastAsia="en-US"/>
        </w:rPr>
        <w:t>е</w:t>
      </w:r>
      <w:r w:rsidRPr="00404CD3">
        <w:rPr>
          <w:rFonts w:eastAsia="Calibri" w:cs="Times New Roman"/>
          <w:sz w:val="24"/>
          <w:szCs w:val="24"/>
          <w:lang w:eastAsia="en-US"/>
        </w:rPr>
        <w:t>нных</w:t>
      </w:r>
      <w:proofErr w:type="spellEnd"/>
      <w:r w:rsidRPr="00404CD3">
        <w:rPr>
          <w:rFonts w:eastAsia="Calibri" w:cs="Times New Roman"/>
          <w:sz w:val="24"/>
          <w:szCs w:val="24"/>
          <w:lang w:eastAsia="en-US"/>
        </w:rPr>
        <w:t xml:space="preserve"> турбин</w:t>
      </w:r>
      <w:r w:rsidR="00404CD3">
        <w:rPr>
          <w:rFonts w:eastAsia="Calibri" w:cs="Times New Roman"/>
          <w:sz w:val="24"/>
          <w:szCs w:val="24"/>
          <w:lang w:eastAsia="en-US"/>
        </w:rPr>
        <w:t>,</w:t>
      </w:r>
      <w:r w:rsidRPr="00404CD3">
        <w:rPr>
          <w:rFonts w:eastAsia="Calibri" w:cs="Times New Roman"/>
          <w:sz w:val="24"/>
          <w:szCs w:val="24"/>
          <w:lang w:eastAsia="en-US"/>
        </w:rPr>
        <w:t xml:space="preserve"> </w:t>
      </w:r>
      <w:r w:rsidR="006F31AC" w:rsidRPr="00404CD3">
        <w:rPr>
          <w:rFonts w:eastAsia="Calibri" w:cs="Times New Roman"/>
          <w:sz w:val="24"/>
          <w:szCs w:val="24"/>
          <w:lang w:eastAsia="en-US"/>
        </w:rPr>
        <w:t>допускается от альтернативных источников пара (</w:t>
      </w:r>
      <w:proofErr w:type="spellStart"/>
      <w:r w:rsidR="006F31AC" w:rsidRPr="00404CD3">
        <w:rPr>
          <w:rFonts w:eastAsia="Calibri" w:cs="Times New Roman"/>
          <w:sz w:val="24"/>
          <w:szCs w:val="24"/>
          <w:lang w:eastAsia="en-US"/>
        </w:rPr>
        <w:t>котлоагрегаты</w:t>
      </w:r>
      <w:proofErr w:type="spellEnd"/>
      <w:r w:rsidR="006F31AC" w:rsidRPr="00404CD3">
        <w:rPr>
          <w:rFonts w:eastAsia="Calibri" w:cs="Times New Roman"/>
          <w:sz w:val="24"/>
          <w:szCs w:val="24"/>
          <w:lang w:eastAsia="en-US"/>
        </w:rPr>
        <w:t xml:space="preserve">, </w:t>
      </w:r>
      <w:proofErr w:type="spellStart"/>
      <w:r w:rsidR="006F31AC" w:rsidRPr="00404CD3">
        <w:rPr>
          <w:rFonts w:eastAsia="Calibri" w:cs="Times New Roman"/>
          <w:sz w:val="24"/>
          <w:szCs w:val="24"/>
          <w:lang w:eastAsia="en-US"/>
        </w:rPr>
        <w:t>РОУ</w:t>
      </w:r>
      <w:proofErr w:type="spellEnd"/>
      <w:r w:rsidR="006F31AC" w:rsidRPr="00404CD3">
        <w:rPr>
          <w:rFonts w:eastAsia="Calibri" w:cs="Times New Roman"/>
          <w:sz w:val="24"/>
          <w:szCs w:val="24"/>
          <w:lang w:eastAsia="en-US"/>
        </w:rPr>
        <w:t xml:space="preserve">, </w:t>
      </w:r>
      <w:proofErr w:type="spellStart"/>
      <w:r w:rsidR="006F31AC" w:rsidRPr="00404CD3">
        <w:rPr>
          <w:rFonts w:eastAsia="Calibri" w:cs="Times New Roman"/>
          <w:sz w:val="24"/>
          <w:szCs w:val="24"/>
          <w:lang w:eastAsia="en-US"/>
        </w:rPr>
        <w:t>БРОУ</w:t>
      </w:r>
      <w:proofErr w:type="spellEnd"/>
      <w:r w:rsidR="006F31AC" w:rsidRPr="00404CD3">
        <w:rPr>
          <w:rFonts w:eastAsia="Calibri" w:cs="Times New Roman"/>
          <w:sz w:val="24"/>
          <w:szCs w:val="24"/>
          <w:lang w:eastAsia="en-US"/>
        </w:rPr>
        <w:t>)</w:t>
      </w:r>
      <w:r w:rsidRPr="00404CD3">
        <w:rPr>
          <w:rFonts w:eastAsia="Calibri" w:cs="Times New Roman"/>
          <w:sz w:val="24"/>
          <w:szCs w:val="24"/>
          <w:lang w:eastAsia="en-US"/>
        </w:rPr>
        <w:t>.</w:t>
      </w:r>
    </w:p>
    <w:p w14:paraId="43C4384A" w14:textId="56BA6410" w:rsidR="00656A4B" w:rsidRPr="00404CD3" w:rsidRDefault="00656A4B" w:rsidP="00404C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900"/>
        </w:tabs>
        <w:suppressAutoHyphens w:val="0"/>
        <w:spacing w:before="0"/>
        <w:jc w:val="both"/>
        <w:rPr>
          <w:sz w:val="24"/>
          <w:szCs w:val="24"/>
        </w:rPr>
      </w:pPr>
      <w:r w:rsidRPr="00404CD3">
        <w:rPr>
          <w:rFonts w:eastAsia="Times New Roman"/>
          <w:b/>
          <w:bCs/>
          <w:sz w:val="24"/>
          <w:szCs w:val="24"/>
          <w:lang w:eastAsia="ru-RU"/>
        </w:rPr>
        <w:t>Дата вступления в силу:</w:t>
      </w:r>
      <w:r w:rsidRPr="00404CD3">
        <w:rPr>
          <w:b/>
          <w:sz w:val="24"/>
          <w:szCs w:val="24"/>
        </w:rPr>
        <w:t xml:space="preserve"> </w:t>
      </w:r>
      <w:r w:rsidRPr="00404CD3">
        <w:rPr>
          <w:rFonts w:cs="Times New Roman"/>
          <w:sz w:val="24"/>
          <w:szCs w:val="24"/>
        </w:rPr>
        <w:t>1 марта 2025 года.</w:t>
      </w:r>
    </w:p>
    <w:p w14:paraId="64FC399D" w14:textId="77777777" w:rsidR="004F0C61" w:rsidRDefault="004F0C61" w:rsidP="00404CD3">
      <w:pPr>
        <w:spacing w:before="0"/>
        <w:rPr>
          <w:b/>
          <w:bCs/>
          <w:sz w:val="26"/>
          <w:szCs w:val="26"/>
        </w:rPr>
      </w:pPr>
    </w:p>
    <w:p w14:paraId="27239BD5" w14:textId="7327E7B3" w:rsidR="002930B5" w:rsidRDefault="002930B5" w:rsidP="00404CD3">
      <w:pPr>
        <w:spacing w:before="0"/>
        <w:rPr>
          <w:b/>
          <w:sz w:val="26"/>
          <w:szCs w:val="26"/>
        </w:rPr>
      </w:pPr>
      <w:r w:rsidRPr="00FA2393">
        <w:rPr>
          <w:b/>
          <w:bCs/>
          <w:sz w:val="26"/>
          <w:szCs w:val="26"/>
        </w:rPr>
        <w:t>Предложения по изменениям и дополнениям в</w:t>
      </w:r>
      <w:r w:rsidRPr="00FA2393">
        <w:rPr>
          <w:b/>
          <w:sz w:val="26"/>
          <w:szCs w:val="26"/>
        </w:rPr>
        <w:t xml:space="preserve"> ПОЛОЖЕНИЕ О ПОРЯДКЕ ПОЛУЧЕНИЯ СТАТУСА СУБЪЕКТА ОПТОВОГО РЫНКА И ВЕДЕНИЯ РЕЕСТРА СУБЪЕКТОВ ОПТОВОГО РЫНКА (Приложение № 1.1 к </w:t>
      </w:r>
      <w:r w:rsidRPr="00FA2393">
        <w:rPr>
          <w:b/>
          <w:bCs/>
          <w:sz w:val="26"/>
          <w:szCs w:val="26"/>
        </w:rPr>
        <w:t>Договору о присоединении к торговой системе оптового рынка</w:t>
      </w:r>
      <w:r w:rsidRPr="00FA2393">
        <w:rPr>
          <w:b/>
          <w:sz w:val="26"/>
          <w:szCs w:val="26"/>
        </w:rPr>
        <w:t>)</w:t>
      </w:r>
    </w:p>
    <w:p w14:paraId="5CF0B503" w14:textId="77777777" w:rsidR="00404CD3" w:rsidRPr="00FA2393" w:rsidRDefault="00404CD3" w:rsidP="00404CD3">
      <w:pPr>
        <w:spacing w:before="0"/>
        <w:rPr>
          <w:b/>
          <w:sz w:val="26"/>
          <w:szCs w:val="26"/>
        </w:rPr>
      </w:pPr>
    </w:p>
    <w:tbl>
      <w:tblPr>
        <w:tblW w:w="5091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4"/>
        <w:gridCol w:w="6651"/>
        <w:gridCol w:w="7285"/>
      </w:tblGrid>
      <w:tr w:rsidR="002930B5" w:rsidRPr="00D93DFE" w14:paraId="7BEC264B" w14:textId="77777777" w:rsidTr="00404CD3">
        <w:trPr>
          <w:trHeight w:val="435"/>
        </w:trPr>
        <w:tc>
          <w:tcPr>
            <w:tcW w:w="336" w:type="pct"/>
            <w:tcMar>
              <w:left w:w="57" w:type="dxa"/>
              <w:right w:w="57" w:type="dxa"/>
            </w:tcMar>
            <w:vAlign w:val="center"/>
          </w:tcPr>
          <w:p w14:paraId="76F475AD" w14:textId="77777777" w:rsidR="002930B5" w:rsidRPr="00D93DFE" w:rsidRDefault="002930B5" w:rsidP="00404CD3">
            <w:pPr>
              <w:spacing w:befor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93DFE">
              <w:rPr>
                <w:rFonts w:eastAsia="Times New Roman"/>
                <w:b/>
                <w:bCs/>
                <w:lang w:eastAsia="ru-RU"/>
              </w:rPr>
              <w:t>№</w:t>
            </w:r>
          </w:p>
          <w:p w14:paraId="1B53643D" w14:textId="77777777" w:rsidR="002930B5" w:rsidRPr="00D93DFE" w:rsidRDefault="002930B5" w:rsidP="00404CD3">
            <w:pPr>
              <w:spacing w:befor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93DFE">
              <w:rPr>
                <w:rFonts w:eastAsia="Times New Roman"/>
                <w:b/>
                <w:bCs/>
                <w:lang w:eastAsia="ru-RU"/>
              </w:rPr>
              <w:t>пункта</w:t>
            </w:r>
          </w:p>
        </w:tc>
        <w:tc>
          <w:tcPr>
            <w:tcW w:w="2226" w:type="pct"/>
            <w:vAlign w:val="center"/>
          </w:tcPr>
          <w:p w14:paraId="69392B56" w14:textId="77777777" w:rsidR="002930B5" w:rsidRPr="00D93DFE" w:rsidRDefault="002930B5" w:rsidP="00404CD3">
            <w:pPr>
              <w:spacing w:befor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93DFE">
              <w:rPr>
                <w:rFonts w:eastAsia="Times New Roman"/>
                <w:b/>
                <w:bCs/>
                <w:lang w:eastAsia="ru-RU"/>
              </w:rPr>
              <w:t>Редакция, действующая на момент</w:t>
            </w:r>
          </w:p>
          <w:p w14:paraId="51405E67" w14:textId="77777777" w:rsidR="002930B5" w:rsidRPr="00D93DFE" w:rsidRDefault="002930B5" w:rsidP="00404CD3">
            <w:pPr>
              <w:spacing w:befor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93DFE">
              <w:rPr>
                <w:rFonts w:eastAsia="Times New Roman"/>
                <w:b/>
                <w:bCs/>
                <w:lang w:eastAsia="ru-RU"/>
              </w:rPr>
              <w:t xml:space="preserve"> вступления в силу изменений</w:t>
            </w:r>
          </w:p>
        </w:tc>
        <w:tc>
          <w:tcPr>
            <w:tcW w:w="2438" w:type="pct"/>
            <w:vAlign w:val="center"/>
          </w:tcPr>
          <w:p w14:paraId="2D727F4B" w14:textId="77777777" w:rsidR="002930B5" w:rsidRPr="00D93DFE" w:rsidRDefault="002930B5" w:rsidP="00404CD3">
            <w:pPr>
              <w:spacing w:befor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93DFE">
              <w:rPr>
                <w:rFonts w:eastAsia="Times New Roman"/>
                <w:b/>
                <w:bCs/>
                <w:lang w:eastAsia="ru-RU"/>
              </w:rPr>
              <w:t>Предлагаемая редакция</w:t>
            </w:r>
          </w:p>
          <w:p w14:paraId="1C8A2CFA" w14:textId="77777777" w:rsidR="002930B5" w:rsidRPr="00D93DFE" w:rsidRDefault="002930B5" w:rsidP="00404CD3">
            <w:pPr>
              <w:spacing w:before="0"/>
              <w:jc w:val="center"/>
              <w:rPr>
                <w:rFonts w:eastAsia="Times New Roman"/>
                <w:lang w:eastAsia="ru-RU"/>
              </w:rPr>
            </w:pPr>
            <w:r w:rsidRPr="00D93DFE">
              <w:rPr>
                <w:rFonts w:eastAsia="Times New Roman"/>
                <w:lang w:eastAsia="ru-RU"/>
              </w:rPr>
              <w:t>(изменения выделены цветом)</w:t>
            </w:r>
          </w:p>
        </w:tc>
      </w:tr>
      <w:tr w:rsidR="002930B5" w:rsidRPr="00D93DFE" w14:paraId="1AB2EF9B" w14:textId="77777777" w:rsidTr="00404CD3">
        <w:trPr>
          <w:trHeight w:val="435"/>
        </w:trPr>
        <w:tc>
          <w:tcPr>
            <w:tcW w:w="336" w:type="pct"/>
            <w:tcMar>
              <w:left w:w="57" w:type="dxa"/>
              <w:right w:w="57" w:type="dxa"/>
            </w:tcMar>
            <w:vAlign w:val="center"/>
          </w:tcPr>
          <w:p w14:paraId="2D860348" w14:textId="31E74022" w:rsidR="002930B5" w:rsidRDefault="009D3ADB" w:rsidP="00404CD3">
            <w:pPr>
              <w:spacing w:after="120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Приложение 4</w:t>
            </w:r>
            <w:r w:rsidR="00404CD3">
              <w:rPr>
                <w:rFonts w:eastAsia="Times New Roman"/>
                <w:b/>
                <w:bCs/>
                <w:lang w:eastAsia="ru-RU"/>
              </w:rPr>
              <w:t>,</w:t>
            </w:r>
            <w:r>
              <w:rPr>
                <w:rFonts w:eastAsia="Times New Roman"/>
                <w:b/>
                <w:bCs/>
                <w:lang w:eastAsia="ru-RU"/>
              </w:rPr>
              <w:t xml:space="preserve"> п. </w:t>
            </w:r>
            <w:r w:rsidR="00404CD3">
              <w:rPr>
                <w:rFonts w:eastAsia="Times New Roman"/>
                <w:b/>
                <w:bCs/>
                <w:lang w:eastAsia="ru-RU"/>
              </w:rPr>
              <w:t>3.2</w:t>
            </w:r>
          </w:p>
        </w:tc>
        <w:tc>
          <w:tcPr>
            <w:tcW w:w="2226" w:type="pct"/>
          </w:tcPr>
          <w:p w14:paraId="4517CABE" w14:textId="77777777" w:rsidR="002930B5" w:rsidRPr="005442EE" w:rsidRDefault="002930B5" w:rsidP="00404CD3">
            <w:pPr>
              <w:spacing w:after="120"/>
              <w:ind w:firstLine="600"/>
            </w:pPr>
            <w:bookmarkStart w:id="1" w:name="_Toc247527199"/>
            <w:bookmarkStart w:id="2" w:name="_Toc399249280"/>
            <w:bookmarkStart w:id="3" w:name="_Toc404696717"/>
            <w:bookmarkStart w:id="4" w:name="_Toc407020168"/>
            <w:bookmarkStart w:id="5" w:name="_Toc428358677"/>
            <w:bookmarkStart w:id="6" w:name="_Toc473814748"/>
            <w:r w:rsidRPr="005442EE">
              <w:t>3.2.</w:t>
            </w:r>
            <w:r w:rsidRPr="005442EE">
              <w:tab/>
              <w:t>Особенности формирования ГТП генерации</w:t>
            </w:r>
            <w:bookmarkEnd w:id="1"/>
            <w:bookmarkEnd w:id="2"/>
            <w:bookmarkEnd w:id="3"/>
            <w:bookmarkEnd w:id="4"/>
            <w:bookmarkEnd w:id="5"/>
            <w:bookmarkEnd w:id="6"/>
          </w:p>
          <w:p w14:paraId="3CC9A1AE" w14:textId="77777777" w:rsidR="002930B5" w:rsidRPr="005442EE" w:rsidRDefault="002930B5" w:rsidP="00404CD3">
            <w:pPr>
              <w:pStyle w:val="31"/>
              <w:tabs>
                <w:tab w:val="left" w:pos="1200"/>
              </w:tabs>
              <w:spacing w:before="120"/>
              <w:ind w:firstLine="600"/>
              <w:rPr>
                <w:sz w:val="22"/>
                <w:szCs w:val="22"/>
              </w:rPr>
            </w:pPr>
            <w:r w:rsidRPr="005442EE">
              <w:rPr>
                <w:sz w:val="22"/>
                <w:szCs w:val="22"/>
              </w:rPr>
              <w:t>3.2.1.</w:t>
            </w:r>
            <w:r w:rsidRPr="005442EE">
              <w:rPr>
                <w:sz w:val="22"/>
                <w:szCs w:val="22"/>
              </w:rPr>
              <w:tab/>
              <w:t>Не допускается объединение в одну ГТП совокупности единиц генерирующего оборудования, в отношении которой выполняется хотя бы одно из следующих условий:</w:t>
            </w:r>
          </w:p>
          <w:p w14:paraId="1E4C7511" w14:textId="77777777" w:rsidR="002930B5" w:rsidRPr="005442EE" w:rsidRDefault="002930B5" w:rsidP="00404CD3">
            <w:pPr>
              <w:pStyle w:val="31"/>
              <w:numPr>
                <w:ilvl w:val="0"/>
                <w:numId w:val="31"/>
              </w:numPr>
              <w:tabs>
                <w:tab w:val="left" w:pos="960"/>
              </w:tabs>
              <w:spacing w:before="120"/>
              <w:ind w:left="0" w:firstLine="600"/>
              <w:rPr>
                <w:sz w:val="22"/>
                <w:szCs w:val="22"/>
              </w:rPr>
            </w:pPr>
            <w:r w:rsidRPr="005442EE">
              <w:rPr>
                <w:sz w:val="22"/>
                <w:szCs w:val="22"/>
              </w:rPr>
              <w:t xml:space="preserve">равное изменение производства (выработки) единиц генерирующего оборудования, включаемых в одну ГТП, приводит к существенно различному влиянию на электрический режим. Не допускается объединение в одну ГТП генерации (соответствующей групповому объекту управления – </w:t>
            </w:r>
            <w:proofErr w:type="spellStart"/>
            <w:r w:rsidRPr="005442EE">
              <w:rPr>
                <w:sz w:val="22"/>
                <w:szCs w:val="22"/>
              </w:rPr>
              <w:t>ГОУ</w:t>
            </w:r>
            <w:proofErr w:type="spellEnd"/>
            <w:r w:rsidRPr="005442EE">
              <w:rPr>
                <w:sz w:val="22"/>
                <w:szCs w:val="22"/>
              </w:rPr>
              <w:t xml:space="preserve">) единиц генерирующего оборудования, которые при планировании или управлении режимом работы энергосистемы по схемно-режимным условиям должны относиться к разным </w:t>
            </w:r>
            <w:proofErr w:type="spellStart"/>
            <w:r w:rsidRPr="005442EE">
              <w:rPr>
                <w:sz w:val="22"/>
                <w:szCs w:val="22"/>
              </w:rPr>
              <w:t>ГОУ</w:t>
            </w:r>
            <w:proofErr w:type="spellEnd"/>
            <w:r w:rsidRPr="005442EE">
              <w:rPr>
                <w:sz w:val="22"/>
                <w:szCs w:val="22"/>
              </w:rPr>
              <w:t xml:space="preserve"> (соответствующим ГТП генерации);</w:t>
            </w:r>
          </w:p>
          <w:p w14:paraId="7633D361" w14:textId="77777777" w:rsidR="002930B5" w:rsidRPr="005442EE" w:rsidRDefault="002930B5" w:rsidP="00404CD3">
            <w:pPr>
              <w:pStyle w:val="31"/>
              <w:numPr>
                <w:ilvl w:val="0"/>
                <w:numId w:val="31"/>
              </w:numPr>
              <w:tabs>
                <w:tab w:val="left" w:pos="960"/>
              </w:tabs>
              <w:spacing w:before="120"/>
              <w:ind w:left="0" w:firstLine="600"/>
              <w:rPr>
                <w:sz w:val="22"/>
                <w:szCs w:val="22"/>
              </w:rPr>
            </w:pPr>
            <w:r w:rsidRPr="005442EE">
              <w:rPr>
                <w:sz w:val="22"/>
                <w:szCs w:val="22"/>
              </w:rPr>
              <w:t xml:space="preserve">выдача мощности единиц генерирующего оборудования осуществляется на шины разного класса напряжения </w:t>
            </w:r>
            <w:r w:rsidRPr="005442EE">
              <w:rPr>
                <w:color w:val="000000"/>
                <w:sz w:val="22"/>
                <w:szCs w:val="22"/>
              </w:rPr>
              <w:t xml:space="preserve">(за исключением единиц генерирующего оборудования, объединенных единым технологическим режимом работы и являющихся технически неделимым объектом управления: блоки </w:t>
            </w:r>
            <w:proofErr w:type="spellStart"/>
            <w:r w:rsidRPr="005442EE">
              <w:rPr>
                <w:color w:val="000000"/>
                <w:sz w:val="22"/>
                <w:szCs w:val="22"/>
              </w:rPr>
              <w:t>ПГУ</w:t>
            </w:r>
            <w:proofErr w:type="spellEnd"/>
            <w:r w:rsidRPr="005442EE">
              <w:rPr>
                <w:color w:val="000000"/>
                <w:sz w:val="22"/>
                <w:szCs w:val="22"/>
              </w:rPr>
              <w:t xml:space="preserve">; </w:t>
            </w:r>
            <w:r w:rsidRPr="005442EE">
              <w:rPr>
                <w:sz w:val="22"/>
                <w:szCs w:val="22"/>
              </w:rPr>
              <w:t>энергетический комплекс, содержащий в составе приключенную турбину, либо иное</w:t>
            </w:r>
            <w:r w:rsidRPr="005442EE">
              <w:rPr>
                <w:color w:val="000000"/>
                <w:sz w:val="22"/>
                <w:szCs w:val="22"/>
              </w:rPr>
              <w:t xml:space="preserve"> </w:t>
            </w:r>
            <w:r w:rsidRPr="005442EE">
              <w:rPr>
                <w:color w:val="000000"/>
                <w:sz w:val="22"/>
                <w:szCs w:val="22"/>
              </w:rPr>
              <w:lastRenderedPageBreak/>
              <w:t>генерирующее оборудование, конструктивно исполненное как единый генерирующий объект)</w:t>
            </w:r>
            <w:r w:rsidRPr="005442EE">
              <w:rPr>
                <w:sz w:val="22"/>
                <w:szCs w:val="22"/>
              </w:rPr>
              <w:t>, представленные в расчетной модели разными узлами;</w:t>
            </w:r>
          </w:p>
          <w:p w14:paraId="3D413802" w14:textId="77777777" w:rsidR="002930B5" w:rsidRPr="005442EE" w:rsidRDefault="002930B5" w:rsidP="00404CD3">
            <w:pPr>
              <w:pStyle w:val="31"/>
              <w:numPr>
                <w:ilvl w:val="0"/>
                <w:numId w:val="31"/>
              </w:numPr>
              <w:tabs>
                <w:tab w:val="left" w:pos="960"/>
              </w:tabs>
              <w:spacing w:before="120"/>
              <w:ind w:left="0" w:firstLine="600"/>
              <w:rPr>
                <w:sz w:val="22"/>
                <w:szCs w:val="22"/>
              </w:rPr>
            </w:pPr>
            <w:r w:rsidRPr="005442EE">
              <w:rPr>
                <w:sz w:val="22"/>
                <w:szCs w:val="22"/>
              </w:rPr>
              <w:t xml:space="preserve">совокупность единиц генерирующего оборудования состоит из блочного генерирующего оборудования и </w:t>
            </w:r>
            <w:proofErr w:type="spellStart"/>
            <w:r w:rsidRPr="005442EE">
              <w:rPr>
                <w:sz w:val="22"/>
                <w:szCs w:val="22"/>
              </w:rPr>
              <w:t>неблочного</w:t>
            </w:r>
            <w:proofErr w:type="spellEnd"/>
            <w:r w:rsidRPr="005442EE">
              <w:rPr>
                <w:sz w:val="22"/>
                <w:szCs w:val="22"/>
              </w:rPr>
              <w:t xml:space="preserve"> генерирующего оборудования;</w:t>
            </w:r>
          </w:p>
          <w:p w14:paraId="0A0E83AA" w14:textId="77777777" w:rsidR="002930B5" w:rsidRPr="005442EE" w:rsidRDefault="002930B5" w:rsidP="00404CD3">
            <w:pPr>
              <w:pStyle w:val="31"/>
              <w:numPr>
                <w:ilvl w:val="0"/>
                <w:numId w:val="31"/>
              </w:numPr>
              <w:tabs>
                <w:tab w:val="left" w:pos="960"/>
              </w:tabs>
              <w:spacing w:before="120"/>
              <w:ind w:left="0" w:firstLine="600"/>
              <w:rPr>
                <w:sz w:val="22"/>
                <w:szCs w:val="22"/>
              </w:rPr>
            </w:pPr>
            <w:r w:rsidRPr="005442EE">
              <w:rPr>
                <w:sz w:val="22"/>
                <w:szCs w:val="22"/>
              </w:rPr>
              <w:t>совокупность единиц генерирующего оборудования состоит из генерирующего оборудования с давлением острого пара более 9 МПа и генерирующего оборудования с давлением острого пара 9 МПа и менее, за исключением турбин, работающих в качестве приключенных;</w:t>
            </w:r>
          </w:p>
          <w:p w14:paraId="69DDC98D" w14:textId="77777777" w:rsidR="002930B5" w:rsidRPr="005442EE" w:rsidRDefault="002930B5" w:rsidP="00404CD3">
            <w:pPr>
              <w:pStyle w:val="31"/>
              <w:numPr>
                <w:ilvl w:val="0"/>
                <w:numId w:val="31"/>
              </w:numPr>
              <w:tabs>
                <w:tab w:val="left" w:pos="960"/>
              </w:tabs>
              <w:spacing w:before="120"/>
              <w:ind w:left="0" w:firstLine="600"/>
              <w:rPr>
                <w:sz w:val="22"/>
                <w:szCs w:val="22"/>
              </w:rPr>
            </w:pPr>
            <w:r w:rsidRPr="005442EE">
              <w:rPr>
                <w:sz w:val="22"/>
                <w:szCs w:val="22"/>
              </w:rPr>
              <w:t xml:space="preserve">совокупность единиц генерирующего оборудования состоит из генерирующего оборудования с газовой турбиной и генерирующего оборудования с паровой турбиной, за исключением генерирующего оборудования, входящего в состав парогазовой установки; </w:t>
            </w:r>
          </w:p>
          <w:p w14:paraId="7C8A1A49" w14:textId="77777777" w:rsidR="002930B5" w:rsidRPr="005442EE" w:rsidRDefault="002930B5" w:rsidP="00404CD3">
            <w:pPr>
              <w:pStyle w:val="31"/>
              <w:numPr>
                <w:ilvl w:val="0"/>
                <w:numId w:val="31"/>
              </w:numPr>
              <w:tabs>
                <w:tab w:val="left" w:pos="960"/>
              </w:tabs>
              <w:spacing w:before="120"/>
              <w:ind w:left="0" w:firstLine="600"/>
              <w:rPr>
                <w:sz w:val="22"/>
                <w:szCs w:val="22"/>
              </w:rPr>
            </w:pPr>
            <w:r w:rsidRPr="005442EE">
              <w:rPr>
                <w:sz w:val="22"/>
                <w:szCs w:val="22"/>
              </w:rPr>
              <w:t>совокупность единиц генерирующего оборудования состоит из генерирующего оборудования, входящего в состав парогазовой установки, и генерирующего оборудования, не входящего в состав парогазовой установки.</w:t>
            </w:r>
          </w:p>
          <w:p w14:paraId="591F4A38" w14:textId="77777777" w:rsidR="002930B5" w:rsidRPr="005442EE" w:rsidRDefault="002930B5" w:rsidP="00404CD3">
            <w:pPr>
              <w:pStyle w:val="31"/>
              <w:tabs>
                <w:tab w:val="left" w:pos="1171"/>
              </w:tabs>
              <w:spacing w:before="120"/>
              <w:ind w:firstLine="600"/>
              <w:rPr>
                <w:sz w:val="22"/>
                <w:szCs w:val="22"/>
              </w:rPr>
            </w:pPr>
            <w:r w:rsidRPr="005442EE">
              <w:rPr>
                <w:sz w:val="22"/>
                <w:szCs w:val="22"/>
              </w:rPr>
              <w:t xml:space="preserve">Условия подпунктов «в»–«е», указанные в настоящем пункте, не применяются к ГТП генерации, сформированной в отношении объектов КОММод, </w:t>
            </w:r>
            <w:proofErr w:type="spellStart"/>
            <w:r w:rsidRPr="005442EE">
              <w:rPr>
                <w:sz w:val="22"/>
                <w:szCs w:val="22"/>
              </w:rPr>
              <w:t>Мод</w:t>
            </w:r>
            <w:r>
              <w:rPr>
                <w:sz w:val="22"/>
                <w:szCs w:val="22"/>
              </w:rPr>
              <w:t>б</w:t>
            </w:r>
            <w:r w:rsidRPr="005442EE">
              <w:rPr>
                <w:sz w:val="22"/>
                <w:szCs w:val="22"/>
              </w:rPr>
              <w:t>НЦЗ</w:t>
            </w:r>
            <w:proofErr w:type="spellEnd"/>
            <w:r w:rsidRPr="005442EE">
              <w:rPr>
                <w:sz w:val="22"/>
                <w:szCs w:val="22"/>
              </w:rPr>
              <w:t xml:space="preserve"> или КОМ НГО, а также ГТП генерации, отнесенным к неценовым зонам. </w:t>
            </w:r>
          </w:p>
          <w:p w14:paraId="5D5BD9C5" w14:textId="63520E54" w:rsidR="002930B5" w:rsidRPr="00404CD3" w:rsidRDefault="002930B5" w:rsidP="00404CD3">
            <w:pPr>
              <w:pStyle w:val="31"/>
              <w:tabs>
                <w:tab w:val="left" w:pos="1171"/>
              </w:tabs>
              <w:spacing w:before="120"/>
              <w:ind w:firstLine="600"/>
              <w:rPr>
                <w:sz w:val="22"/>
                <w:szCs w:val="22"/>
              </w:rPr>
            </w:pPr>
            <w:r w:rsidRPr="005442EE">
              <w:rPr>
                <w:sz w:val="22"/>
                <w:szCs w:val="22"/>
              </w:rPr>
              <w:t>С 01.01.2025 не допускается наличие в закрепленной за участником оптового рынка ГТП генерации совокупности единиц генерирующего оборудования, указанной в абзацах четвертом – седьмом настоящего пункта.</w:t>
            </w:r>
          </w:p>
        </w:tc>
        <w:tc>
          <w:tcPr>
            <w:tcW w:w="2438" w:type="pct"/>
          </w:tcPr>
          <w:p w14:paraId="703042A3" w14:textId="77777777" w:rsidR="00030D39" w:rsidRPr="005442EE" w:rsidRDefault="00030D39" w:rsidP="00404CD3">
            <w:pPr>
              <w:spacing w:after="120"/>
              <w:ind w:firstLine="600"/>
            </w:pPr>
            <w:r w:rsidRPr="005442EE">
              <w:lastRenderedPageBreak/>
              <w:t>3.2.</w:t>
            </w:r>
            <w:r w:rsidRPr="005442EE">
              <w:tab/>
              <w:t>Особенности формирования ГТП генерации</w:t>
            </w:r>
          </w:p>
          <w:p w14:paraId="06795703" w14:textId="77777777" w:rsidR="00030D39" w:rsidRPr="005442EE" w:rsidRDefault="00030D39" w:rsidP="00404CD3">
            <w:pPr>
              <w:pStyle w:val="31"/>
              <w:tabs>
                <w:tab w:val="left" w:pos="1200"/>
              </w:tabs>
              <w:spacing w:before="120"/>
              <w:ind w:firstLine="600"/>
              <w:rPr>
                <w:sz w:val="22"/>
                <w:szCs w:val="22"/>
              </w:rPr>
            </w:pPr>
            <w:r w:rsidRPr="005442EE">
              <w:rPr>
                <w:sz w:val="22"/>
                <w:szCs w:val="22"/>
              </w:rPr>
              <w:t>3.2.1.</w:t>
            </w:r>
            <w:r w:rsidRPr="005442EE">
              <w:rPr>
                <w:sz w:val="22"/>
                <w:szCs w:val="22"/>
              </w:rPr>
              <w:tab/>
              <w:t>Не допускается объединение в одну ГТП совокупности единиц генерирующего оборудования, в отношении которой выполняется хотя бы одно из следующих условий:</w:t>
            </w:r>
          </w:p>
          <w:p w14:paraId="780BC1DD" w14:textId="77777777" w:rsidR="00030D39" w:rsidRPr="005442EE" w:rsidRDefault="00030D39" w:rsidP="00404CD3">
            <w:pPr>
              <w:pStyle w:val="31"/>
              <w:numPr>
                <w:ilvl w:val="0"/>
                <w:numId w:val="33"/>
              </w:numPr>
              <w:tabs>
                <w:tab w:val="left" w:pos="960"/>
              </w:tabs>
              <w:spacing w:before="120"/>
              <w:ind w:left="41" w:firstLine="567"/>
              <w:rPr>
                <w:sz w:val="22"/>
                <w:szCs w:val="22"/>
              </w:rPr>
            </w:pPr>
            <w:r w:rsidRPr="005442EE">
              <w:rPr>
                <w:sz w:val="22"/>
                <w:szCs w:val="22"/>
              </w:rPr>
              <w:t xml:space="preserve">равное изменение производства (выработки) единиц генерирующего оборудования, включаемых в одну ГТП, приводит к существенно различному влиянию на электрический режим. Не допускается объединение в одну ГТП генерации (соответствующей групповому объекту управления – </w:t>
            </w:r>
            <w:proofErr w:type="spellStart"/>
            <w:r w:rsidRPr="005442EE">
              <w:rPr>
                <w:sz w:val="22"/>
                <w:szCs w:val="22"/>
              </w:rPr>
              <w:t>ГОУ</w:t>
            </w:r>
            <w:proofErr w:type="spellEnd"/>
            <w:r w:rsidRPr="005442EE">
              <w:rPr>
                <w:sz w:val="22"/>
                <w:szCs w:val="22"/>
              </w:rPr>
              <w:t xml:space="preserve">) единиц генерирующего оборудования, которые при планировании или управлении режимом работы энергосистемы по схемно-режимным условиям должны относиться к разным </w:t>
            </w:r>
            <w:proofErr w:type="spellStart"/>
            <w:r w:rsidRPr="005442EE">
              <w:rPr>
                <w:sz w:val="22"/>
                <w:szCs w:val="22"/>
              </w:rPr>
              <w:t>ГОУ</w:t>
            </w:r>
            <w:proofErr w:type="spellEnd"/>
            <w:r w:rsidRPr="005442EE">
              <w:rPr>
                <w:sz w:val="22"/>
                <w:szCs w:val="22"/>
              </w:rPr>
              <w:t xml:space="preserve"> (соответствующим ГТП генерации);</w:t>
            </w:r>
          </w:p>
          <w:p w14:paraId="761928D4" w14:textId="77777777" w:rsidR="00030D39" w:rsidRPr="005442EE" w:rsidRDefault="00030D39" w:rsidP="00404CD3">
            <w:pPr>
              <w:pStyle w:val="31"/>
              <w:numPr>
                <w:ilvl w:val="0"/>
                <w:numId w:val="33"/>
              </w:numPr>
              <w:tabs>
                <w:tab w:val="left" w:pos="960"/>
              </w:tabs>
              <w:spacing w:before="120"/>
              <w:ind w:left="0" w:firstLine="600"/>
              <w:rPr>
                <w:sz w:val="22"/>
                <w:szCs w:val="22"/>
              </w:rPr>
            </w:pPr>
            <w:r w:rsidRPr="005442EE">
              <w:rPr>
                <w:sz w:val="22"/>
                <w:szCs w:val="22"/>
              </w:rPr>
              <w:t xml:space="preserve">выдача мощности единиц генерирующего оборудования осуществляется на шины разного класса напряжения </w:t>
            </w:r>
            <w:r w:rsidRPr="005442EE">
              <w:rPr>
                <w:color w:val="000000"/>
                <w:sz w:val="22"/>
                <w:szCs w:val="22"/>
              </w:rPr>
              <w:t xml:space="preserve">(за исключением единиц генерирующего оборудования, объединенных единым технологическим режимом работы и являющихся технически неделимым объектом управления: блоки </w:t>
            </w:r>
            <w:proofErr w:type="spellStart"/>
            <w:r w:rsidRPr="005442EE">
              <w:rPr>
                <w:color w:val="000000"/>
                <w:sz w:val="22"/>
                <w:szCs w:val="22"/>
              </w:rPr>
              <w:t>ПГУ</w:t>
            </w:r>
            <w:proofErr w:type="spellEnd"/>
            <w:r w:rsidRPr="005442EE">
              <w:rPr>
                <w:color w:val="000000"/>
                <w:sz w:val="22"/>
                <w:szCs w:val="22"/>
              </w:rPr>
              <w:t xml:space="preserve">; </w:t>
            </w:r>
            <w:r w:rsidRPr="005442EE">
              <w:rPr>
                <w:sz w:val="22"/>
                <w:szCs w:val="22"/>
              </w:rPr>
              <w:t>энергетический комплекс, содержащий в составе приключенную турбину, либо иное</w:t>
            </w:r>
            <w:r w:rsidRPr="005442EE">
              <w:rPr>
                <w:color w:val="000000"/>
                <w:sz w:val="22"/>
                <w:szCs w:val="22"/>
              </w:rPr>
              <w:t xml:space="preserve"> генерирующее оборудование, конструктивно </w:t>
            </w:r>
            <w:r w:rsidRPr="005442EE">
              <w:rPr>
                <w:color w:val="000000"/>
                <w:sz w:val="22"/>
                <w:szCs w:val="22"/>
              </w:rPr>
              <w:lastRenderedPageBreak/>
              <w:t>исполненное как единый генерирующий объект)</w:t>
            </w:r>
            <w:r w:rsidRPr="005442EE">
              <w:rPr>
                <w:sz w:val="22"/>
                <w:szCs w:val="22"/>
              </w:rPr>
              <w:t>, представленные в расчетной модели разными узлами;</w:t>
            </w:r>
          </w:p>
          <w:p w14:paraId="3E403C6F" w14:textId="77777777" w:rsidR="00030D39" w:rsidRPr="005442EE" w:rsidRDefault="00030D39" w:rsidP="00404CD3">
            <w:pPr>
              <w:pStyle w:val="31"/>
              <w:numPr>
                <w:ilvl w:val="0"/>
                <w:numId w:val="33"/>
              </w:numPr>
              <w:tabs>
                <w:tab w:val="left" w:pos="960"/>
              </w:tabs>
              <w:spacing w:before="120"/>
              <w:ind w:left="0" w:firstLine="600"/>
              <w:rPr>
                <w:sz w:val="22"/>
                <w:szCs w:val="22"/>
              </w:rPr>
            </w:pPr>
            <w:r w:rsidRPr="005442EE">
              <w:rPr>
                <w:sz w:val="22"/>
                <w:szCs w:val="22"/>
              </w:rPr>
              <w:t xml:space="preserve">совокупность единиц генерирующего оборудования состоит из блочного генерирующего оборудования и </w:t>
            </w:r>
            <w:proofErr w:type="spellStart"/>
            <w:r w:rsidRPr="005442EE">
              <w:rPr>
                <w:sz w:val="22"/>
                <w:szCs w:val="22"/>
              </w:rPr>
              <w:t>неблочного</w:t>
            </w:r>
            <w:proofErr w:type="spellEnd"/>
            <w:r w:rsidRPr="005442EE">
              <w:rPr>
                <w:sz w:val="22"/>
                <w:szCs w:val="22"/>
              </w:rPr>
              <w:t xml:space="preserve"> генерирующего оборудования;</w:t>
            </w:r>
          </w:p>
          <w:p w14:paraId="415B4C0F" w14:textId="53F8CF64" w:rsidR="00030D39" w:rsidRPr="005442EE" w:rsidRDefault="00030D39" w:rsidP="00404CD3">
            <w:pPr>
              <w:pStyle w:val="31"/>
              <w:numPr>
                <w:ilvl w:val="0"/>
                <w:numId w:val="33"/>
              </w:numPr>
              <w:tabs>
                <w:tab w:val="left" w:pos="960"/>
              </w:tabs>
              <w:spacing w:before="120"/>
              <w:ind w:left="0" w:firstLine="600"/>
              <w:rPr>
                <w:sz w:val="22"/>
                <w:szCs w:val="22"/>
              </w:rPr>
            </w:pPr>
            <w:r w:rsidRPr="005442EE">
              <w:rPr>
                <w:sz w:val="22"/>
                <w:szCs w:val="22"/>
              </w:rPr>
              <w:t xml:space="preserve">совокупность единиц генерирующего оборудования состоит из генерирующего оборудования с давлением острого пара более 9 МПа и генерирующего оборудования с давлением острого пара 9 МПа и менее, за исключением турбин, </w:t>
            </w:r>
            <w:r w:rsidRPr="00FC45FE">
              <w:rPr>
                <w:sz w:val="22"/>
                <w:szCs w:val="22"/>
              </w:rPr>
              <w:t>работающих в качестве приключенных</w:t>
            </w:r>
            <w:r w:rsidR="00FC45FE">
              <w:rPr>
                <w:sz w:val="22"/>
                <w:szCs w:val="22"/>
              </w:rPr>
              <w:t xml:space="preserve"> </w:t>
            </w:r>
            <w:r w:rsidR="00FC45FE" w:rsidRPr="00FC45FE">
              <w:rPr>
                <w:sz w:val="22"/>
                <w:szCs w:val="22"/>
                <w:highlight w:val="yellow"/>
              </w:rPr>
              <w:t xml:space="preserve">(в </w:t>
            </w:r>
            <w:proofErr w:type="spellStart"/>
            <w:r w:rsidR="00FC45FE" w:rsidRPr="00FC45FE">
              <w:rPr>
                <w:sz w:val="22"/>
                <w:szCs w:val="22"/>
                <w:highlight w:val="yellow"/>
              </w:rPr>
              <w:t>т.ч</w:t>
            </w:r>
            <w:proofErr w:type="spellEnd"/>
            <w:r w:rsidR="00FC45FE" w:rsidRPr="00FC45FE">
              <w:rPr>
                <w:sz w:val="22"/>
                <w:szCs w:val="22"/>
                <w:highlight w:val="yellow"/>
              </w:rPr>
              <w:t>. турбин, снабжение паром которых</w:t>
            </w:r>
            <w:r w:rsidR="006B269F">
              <w:rPr>
                <w:sz w:val="22"/>
                <w:szCs w:val="22"/>
                <w:highlight w:val="yellow"/>
              </w:rPr>
              <w:t>,</w:t>
            </w:r>
            <w:r w:rsidR="00FC45FE" w:rsidRPr="00FC45FE">
              <w:rPr>
                <w:sz w:val="22"/>
                <w:szCs w:val="22"/>
                <w:highlight w:val="yellow"/>
              </w:rPr>
              <w:t xml:space="preserve"> кроме пара от </w:t>
            </w:r>
            <w:proofErr w:type="spellStart"/>
            <w:r w:rsidR="00FC45FE" w:rsidRPr="00FC45FE">
              <w:rPr>
                <w:sz w:val="22"/>
                <w:szCs w:val="22"/>
                <w:highlight w:val="yellow"/>
              </w:rPr>
              <w:t>предвключенных</w:t>
            </w:r>
            <w:proofErr w:type="spellEnd"/>
            <w:r w:rsidR="00FC45FE" w:rsidRPr="00FC45FE">
              <w:rPr>
                <w:sz w:val="22"/>
                <w:szCs w:val="22"/>
                <w:highlight w:val="yellow"/>
              </w:rPr>
              <w:t xml:space="preserve"> турбин, допускается от альтернативных источников пара (</w:t>
            </w:r>
            <w:proofErr w:type="spellStart"/>
            <w:r w:rsidR="00FC45FE" w:rsidRPr="00FC45FE">
              <w:rPr>
                <w:sz w:val="22"/>
                <w:szCs w:val="22"/>
                <w:highlight w:val="yellow"/>
              </w:rPr>
              <w:t>котлоагрегаты</w:t>
            </w:r>
            <w:proofErr w:type="spellEnd"/>
            <w:r w:rsidR="00FC45FE" w:rsidRPr="00FC45FE">
              <w:rPr>
                <w:sz w:val="22"/>
                <w:szCs w:val="22"/>
                <w:highlight w:val="yellow"/>
              </w:rPr>
              <w:t xml:space="preserve">, </w:t>
            </w:r>
            <w:proofErr w:type="spellStart"/>
            <w:r w:rsidR="00FC45FE" w:rsidRPr="00FC45FE">
              <w:rPr>
                <w:sz w:val="22"/>
                <w:szCs w:val="22"/>
                <w:highlight w:val="yellow"/>
              </w:rPr>
              <w:t>РОУ</w:t>
            </w:r>
            <w:proofErr w:type="spellEnd"/>
            <w:r w:rsidR="00FC45FE" w:rsidRPr="00FC45FE">
              <w:rPr>
                <w:sz w:val="22"/>
                <w:szCs w:val="22"/>
                <w:highlight w:val="yellow"/>
              </w:rPr>
              <w:t xml:space="preserve">, </w:t>
            </w:r>
            <w:proofErr w:type="spellStart"/>
            <w:r w:rsidR="00FC45FE" w:rsidRPr="00FC45FE">
              <w:rPr>
                <w:sz w:val="22"/>
                <w:szCs w:val="22"/>
                <w:highlight w:val="yellow"/>
              </w:rPr>
              <w:t>БРОУ</w:t>
            </w:r>
            <w:proofErr w:type="spellEnd"/>
            <w:r w:rsidR="00FC45FE" w:rsidRPr="00FC45FE">
              <w:rPr>
                <w:sz w:val="22"/>
                <w:szCs w:val="22"/>
                <w:highlight w:val="yellow"/>
              </w:rPr>
              <w:t>))</w:t>
            </w:r>
            <w:r w:rsidRPr="00FC45FE">
              <w:rPr>
                <w:sz w:val="22"/>
                <w:szCs w:val="22"/>
                <w:highlight w:val="yellow"/>
              </w:rPr>
              <w:t>;</w:t>
            </w:r>
          </w:p>
          <w:p w14:paraId="6681BE34" w14:textId="77777777" w:rsidR="00030D39" w:rsidRPr="005442EE" w:rsidRDefault="00030D39" w:rsidP="00404CD3">
            <w:pPr>
              <w:pStyle w:val="31"/>
              <w:numPr>
                <w:ilvl w:val="0"/>
                <w:numId w:val="33"/>
              </w:numPr>
              <w:tabs>
                <w:tab w:val="left" w:pos="960"/>
              </w:tabs>
              <w:spacing w:before="120"/>
              <w:ind w:left="0" w:firstLine="600"/>
              <w:rPr>
                <w:sz w:val="22"/>
                <w:szCs w:val="22"/>
              </w:rPr>
            </w:pPr>
            <w:r w:rsidRPr="005442EE">
              <w:rPr>
                <w:sz w:val="22"/>
                <w:szCs w:val="22"/>
              </w:rPr>
              <w:t xml:space="preserve">совокупность единиц генерирующего оборудования состоит из генерирующего оборудования с газовой турбиной и генерирующего оборудования с паровой турбиной, за исключением генерирующего оборудования, входящего в состав парогазовой установки; </w:t>
            </w:r>
          </w:p>
          <w:p w14:paraId="1A6ABA2B" w14:textId="77777777" w:rsidR="00030D39" w:rsidRPr="005442EE" w:rsidRDefault="00030D39" w:rsidP="00404CD3">
            <w:pPr>
              <w:pStyle w:val="31"/>
              <w:numPr>
                <w:ilvl w:val="0"/>
                <w:numId w:val="33"/>
              </w:numPr>
              <w:tabs>
                <w:tab w:val="left" w:pos="960"/>
              </w:tabs>
              <w:spacing w:before="120"/>
              <w:ind w:left="0" w:firstLine="600"/>
              <w:rPr>
                <w:sz w:val="22"/>
                <w:szCs w:val="22"/>
              </w:rPr>
            </w:pPr>
            <w:r w:rsidRPr="005442EE">
              <w:rPr>
                <w:sz w:val="22"/>
                <w:szCs w:val="22"/>
              </w:rPr>
              <w:t>совокупность единиц генерирующего оборудования состоит из генерирующего оборудования, входящего в состав парогазовой установки, и генерирующего оборудования, не входящего в состав парогазовой установки.</w:t>
            </w:r>
          </w:p>
          <w:p w14:paraId="0B74BEF8" w14:textId="77777777" w:rsidR="00030D39" w:rsidRPr="005442EE" w:rsidRDefault="00030D39" w:rsidP="00404CD3">
            <w:pPr>
              <w:pStyle w:val="31"/>
              <w:tabs>
                <w:tab w:val="left" w:pos="1171"/>
              </w:tabs>
              <w:spacing w:before="120"/>
              <w:ind w:firstLine="600"/>
              <w:rPr>
                <w:sz w:val="22"/>
                <w:szCs w:val="22"/>
              </w:rPr>
            </w:pPr>
            <w:r w:rsidRPr="005442EE">
              <w:rPr>
                <w:sz w:val="22"/>
                <w:szCs w:val="22"/>
              </w:rPr>
              <w:t xml:space="preserve">Условия подпунктов «в»–«е», указанные в настоящем пункте, не применяются к ГТП генерации, сформированной в отношении объектов КОММод, </w:t>
            </w:r>
            <w:proofErr w:type="spellStart"/>
            <w:r w:rsidRPr="005442EE">
              <w:rPr>
                <w:sz w:val="22"/>
                <w:szCs w:val="22"/>
              </w:rPr>
              <w:t>Мод</w:t>
            </w:r>
            <w:r>
              <w:rPr>
                <w:sz w:val="22"/>
                <w:szCs w:val="22"/>
              </w:rPr>
              <w:t>б</w:t>
            </w:r>
            <w:r w:rsidRPr="005442EE">
              <w:rPr>
                <w:sz w:val="22"/>
                <w:szCs w:val="22"/>
              </w:rPr>
              <w:t>НЦЗ</w:t>
            </w:r>
            <w:proofErr w:type="spellEnd"/>
            <w:r w:rsidRPr="005442EE">
              <w:rPr>
                <w:sz w:val="22"/>
                <w:szCs w:val="22"/>
              </w:rPr>
              <w:t xml:space="preserve"> или КОМ НГО, а также ГТП генерации, отнесенным к неценовым зонам. </w:t>
            </w:r>
          </w:p>
          <w:p w14:paraId="478D81A2" w14:textId="3C33DD4D" w:rsidR="002930B5" w:rsidRPr="00404CD3" w:rsidRDefault="00030D39" w:rsidP="00404CD3">
            <w:pPr>
              <w:pStyle w:val="31"/>
              <w:tabs>
                <w:tab w:val="left" w:pos="1171"/>
              </w:tabs>
              <w:spacing w:before="120"/>
              <w:ind w:firstLine="600"/>
              <w:rPr>
                <w:sz w:val="22"/>
                <w:szCs w:val="22"/>
              </w:rPr>
            </w:pPr>
            <w:r w:rsidRPr="005442EE">
              <w:rPr>
                <w:sz w:val="22"/>
                <w:szCs w:val="22"/>
              </w:rPr>
              <w:t>С 01.01.2025 не допускается наличие в закрепленной за участником оптового рынка ГТП генерации совокупности единиц генерирующего оборудования, указанной в абзацах четвертом – седьмом настоящего пункта.</w:t>
            </w:r>
          </w:p>
        </w:tc>
      </w:tr>
      <w:tr w:rsidR="00EA2717" w:rsidRPr="00D93DFE" w14:paraId="62C46D48" w14:textId="77777777" w:rsidTr="00404CD3">
        <w:trPr>
          <w:trHeight w:val="435"/>
        </w:trPr>
        <w:tc>
          <w:tcPr>
            <w:tcW w:w="336" w:type="pct"/>
            <w:tcMar>
              <w:left w:w="57" w:type="dxa"/>
              <w:right w:w="57" w:type="dxa"/>
            </w:tcMar>
            <w:vAlign w:val="center"/>
          </w:tcPr>
          <w:p w14:paraId="122C2335" w14:textId="01880BA5" w:rsidR="00EA2717" w:rsidRDefault="00EA2717" w:rsidP="00404CD3">
            <w:pPr>
              <w:spacing w:after="120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lastRenderedPageBreak/>
              <w:t>4.4.7</w:t>
            </w:r>
          </w:p>
        </w:tc>
        <w:tc>
          <w:tcPr>
            <w:tcW w:w="2226" w:type="pct"/>
          </w:tcPr>
          <w:p w14:paraId="424F6B17" w14:textId="3F768A0F" w:rsidR="00EA2717" w:rsidRPr="005442EE" w:rsidRDefault="00EA2717" w:rsidP="00404CD3">
            <w:pPr>
              <w:spacing w:after="120"/>
              <w:ind w:firstLine="600"/>
              <w:jc w:val="both"/>
            </w:pPr>
            <w:r>
              <w:t xml:space="preserve">СО не позднее 3 (трех) рабочих дней после начала каждого календарного месяца, но не ранее 1 мая 2024 года, передает в КО выписку из актуального реестра фактических параметров генерирующего оборудования, сформированного в установленном Регламентом аттестации генерирующего оборудования (Приложение № 19.2 к Договору о присоединении к торговой системе оптового рынка) порядке, содержащую перечень единиц генерирующего оборудования, входящих в состав закрепленных ГТП генерации, с </w:t>
            </w:r>
            <w:r>
              <w:lastRenderedPageBreak/>
              <w:t xml:space="preserve">указанием в отношении каждой из них информации о давлении острого пара входящей в состав ЕГО турбины, отнесении ЕГО к блочному генерирующему оборудованию, признаке работы в качестве приключенной турбины, работе ЕГО в составе парогазовой установки. Дополнительно </w:t>
            </w:r>
            <w:proofErr w:type="spellStart"/>
            <w:r>
              <w:t>справочно</w:t>
            </w:r>
            <w:proofErr w:type="spellEnd"/>
            <w:r>
              <w:t xml:space="preserve"> указывается информация о соответствии/несоответствии ГТП генерации участников оптового рынка требованиям подпунктов «в»–«е» п. 3.2.1 Методики определения групп точек поставки на оптовом рынке электроэнергии, представленной в приложении 4 к настоящему Положению.</w:t>
            </w:r>
          </w:p>
        </w:tc>
        <w:tc>
          <w:tcPr>
            <w:tcW w:w="2438" w:type="pct"/>
          </w:tcPr>
          <w:p w14:paraId="7BCC2C17" w14:textId="0B3903B3" w:rsidR="00EA2717" w:rsidRPr="005442EE" w:rsidRDefault="009735FF" w:rsidP="00404CD3">
            <w:pPr>
              <w:spacing w:after="120"/>
              <w:ind w:firstLine="600"/>
              <w:jc w:val="both"/>
            </w:pPr>
            <w:r>
              <w:lastRenderedPageBreak/>
              <w:t xml:space="preserve">СО не позднее 3 (трех) рабочих дней после начала каждого календарного месяца, но не ранее 1 мая 2024 года, передает в КО выписку из актуального реестра фактических параметров генерирующего оборудования, сформированного в установленном Регламентом аттестации генерирующего оборудования (Приложение № 19.2 к Договору о присоединении к торговой системе оптового рынка) порядке, содержащую перечень единиц генерирующего оборудования, входящих в состав закрепленных ГТП генерации, с указанием в отношении каждой из них информации о давлении </w:t>
            </w:r>
            <w:r>
              <w:lastRenderedPageBreak/>
              <w:t>острого пара входящей в состав ЕГО турбины, отнесении ЕГО к блочному генерирующему оборудованию, признаке работы в</w:t>
            </w:r>
            <w:r w:rsidR="00436A41">
              <w:t xml:space="preserve"> качестве приключенной турбины</w:t>
            </w:r>
            <w:r w:rsidR="002577E6">
              <w:t xml:space="preserve"> </w:t>
            </w:r>
            <w:r w:rsidR="00FC45FE">
              <w:rPr>
                <w:highlight w:val="yellow"/>
              </w:rPr>
              <w:t xml:space="preserve">(в </w:t>
            </w:r>
            <w:proofErr w:type="spellStart"/>
            <w:r w:rsidR="00FC45FE">
              <w:rPr>
                <w:highlight w:val="yellow"/>
              </w:rPr>
              <w:t>т.ч</w:t>
            </w:r>
            <w:proofErr w:type="spellEnd"/>
            <w:r w:rsidR="00FC45FE">
              <w:rPr>
                <w:highlight w:val="yellow"/>
              </w:rPr>
              <w:t>. турбины, снабжение паром которой</w:t>
            </w:r>
            <w:r w:rsidR="006B269F">
              <w:rPr>
                <w:highlight w:val="yellow"/>
              </w:rPr>
              <w:t>,</w:t>
            </w:r>
            <w:r w:rsidR="00FC45FE">
              <w:rPr>
                <w:highlight w:val="yellow"/>
              </w:rPr>
              <w:t xml:space="preserve"> кроме пара от </w:t>
            </w:r>
            <w:proofErr w:type="spellStart"/>
            <w:r w:rsidR="00FC45FE">
              <w:rPr>
                <w:highlight w:val="yellow"/>
              </w:rPr>
              <w:t>предвключенных</w:t>
            </w:r>
            <w:proofErr w:type="spellEnd"/>
            <w:r w:rsidR="00FC45FE">
              <w:rPr>
                <w:highlight w:val="yellow"/>
              </w:rPr>
              <w:t xml:space="preserve"> турбин, допускается от альтернативных источников пара (</w:t>
            </w:r>
            <w:proofErr w:type="spellStart"/>
            <w:r w:rsidR="00FC45FE">
              <w:rPr>
                <w:highlight w:val="yellow"/>
              </w:rPr>
              <w:t>котлоагрегаты</w:t>
            </w:r>
            <w:proofErr w:type="spellEnd"/>
            <w:r w:rsidR="00FC45FE">
              <w:rPr>
                <w:highlight w:val="yellow"/>
              </w:rPr>
              <w:t xml:space="preserve">, </w:t>
            </w:r>
            <w:proofErr w:type="spellStart"/>
            <w:r w:rsidR="00FC45FE">
              <w:rPr>
                <w:highlight w:val="yellow"/>
              </w:rPr>
              <w:t>РОУ</w:t>
            </w:r>
            <w:proofErr w:type="spellEnd"/>
            <w:r w:rsidR="00FC45FE">
              <w:rPr>
                <w:highlight w:val="yellow"/>
              </w:rPr>
              <w:t xml:space="preserve">, </w:t>
            </w:r>
            <w:proofErr w:type="spellStart"/>
            <w:r w:rsidR="00FC45FE">
              <w:rPr>
                <w:highlight w:val="yellow"/>
              </w:rPr>
              <w:t>БРОУ</w:t>
            </w:r>
            <w:proofErr w:type="spellEnd"/>
            <w:r w:rsidR="00FC45FE">
              <w:rPr>
                <w:highlight w:val="yellow"/>
              </w:rPr>
              <w:t>))</w:t>
            </w:r>
            <w:r>
              <w:t xml:space="preserve">, работе ЕГО в составе парогазовой установки. Дополнительно </w:t>
            </w:r>
            <w:proofErr w:type="spellStart"/>
            <w:r>
              <w:t>справочно</w:t>
            </w:r>
            <w:proofErr w:type="spellEnd"/>
            <w:r>
              <w:t xml:space="preserve"> указывается информация о соответствии/несоответствии ГТП генерации участников оптового рынка требованиям подпунктов «в»–«е» п. 3.2.1 Методики определения групп точек поставки на оптовом рынке электроэнергии, представленной в приложении 4 к настоящему Положению.</w:t>
            </w:r>
          </w:p>
        </w:tc>
      </w:tr>
    </w:tbl>
    <w:p w14:paraId="6CD03D96" w14:textId="06E83B2A" w:rsidR="002930B5" w:rsidRDefault="002930B5" w:rsidP="00404CD3">
      <w:pPr>
        <w:tabs>
          <w:tab w:val="left" w:pos="709"/>
        </w:tabs>
        <w:spacing w:before="0"/>
        <w:jc w:val="both"/>
      </w:pPr>
    </w:p>
    <w:p w14:paraId="28E4C8BF" w14:textId="57A48499" w:rsidR="006A161D" w:rsidRDefault="006A161D" w:rsidP="00404CD3">
      <w:pPr>
        <w:spacing w:before="0"/>
        <w:rPr>
          <w:b/>
          <w:sz w:val="26"/>
          <w:szCs w:val="26"/>
        </w:rPr>
      </w:pPr>
      <w:r w:rsidRPr="00FA2393">
        <w:rPr>
          <w:b/>
          <w:bCs/>
          <w:sz w:val="26"/>
          <w:szCs w:val="26"/>
        </w:rPr>
        <w:t>Предложения по изменениям и дополнениям в</w:t>
      </w:r>
      <w:r w:rsidRPr="00FA2393">
        <w:rPr>
          <w:b/>
          <w:sz w:val="26"/>
          <w:szCs w:val="26"/>
        </w:rPr>
        <w:t xml:space="preserve"> </w:t>
      </w:r>
      <w:r w:rsidR="001B7555">
        <w:rPr>
          <w:b/>
          <w:sz w:val="26"/>
          <w:szCs w:val="26"/>
        </w:rPr>
        <w:t xml:space="preserve">РЕГЛАМЕНТ АТТЕСТАЦИИ </w:t>
      </w:r>
      <w:r w:rsidR="001B7555" w:rsidRPr="001B7555">
        <w:rPr>
          <w:b/>
          <w:sz w:val="26"/>
          <w:szCs w:val="26"/>
        </w:rPr>
        <w:t>ГЕНЕРИРУЮЩЕГО ОБОРУДОВАНИЯ</w:t>
      </w:r>
      <w:r w:rsidR="001B7555">
        <w:rPr>
          <w:b/>
          <w:sz w:val="26"/>
          <w:szCs w:val="26"/>
        </w:rPr>
        <w:t xml:space="preserve"> </w:t>
      </w:r>
      <w:r w:rsidRPr="00FA2393">
        <w:rPr>
          <w:b/>
          <w:sz w:val="26"/>
          <w:szCs w:val="26"/>
        </w:rPr>
        <w:t>(Приложение № 1</w:t>
      </w:r>
      <w:r>
        <w:rPr>
          <w:b/>
          <w:sz w:val="26"/>
          <w:szCs w:val="26"/>
        </w:rPr>
        <w:t>9.2</w:t>
      </w:r>
      <w:r w:rsidRPr="00FA2393">
        <w:rPr>
          <w:b/>
          <w:sz w:val="26"/>
          <w:szCs w:val="26"/>
        </w:rPr>
        <w:t xml:space="preserve"> к </w:t>
      </w:r>
      <w:r w:rsidRPr="00FA2393">
        <w:rPr>
          <w:b/>
          <w:bCs/>
          <w:sz w:val="26"/>
          <w:szCs w:val="26"/>
        </w:rPr>
        <w:t>Договору о присоединении к торговой системе оптового рынка</w:t>
      </w:r>
      <w:r w:rsidRPr="00FA2393">
        <w:rPr>
          <w:b/>
          <w:sz w:val="26"/>
          <w:szCs w:val="26"/>
        </w:rPr>
        <w:t>)</w:t>
      </w:r>
    </w:p>
    <w:p w14:paraId="5D7FB4FA" w14:textId="77777777" w:rsidR="00404CD3" w:rsidRPr="00FA2393" w:rsidRDefault="00404CD3" w:rsidP="00404CD3">
      <w:pPr>
        <w:spacing w:before="0"/>
        <w:rPr>
          <w:b/>
          <w:sz w:val="26"/>
          <w:szCs w:val="26"/>
        </w:rPr>
      </w:pPr>
    </w:p>
    <w:tbl>
      <w:tblPr>
        <w:tblW w:w="5072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"/>
        <w:gridCol w:w="6653"/>
        <w:gridCol w:w="7225"/>
      </w:tblGrid>
      <w:tr w:rsidR="006A161D" w:rsidRPr="00D93DFE" w14:paraId="59FDABB2" w14:textId="77777777" w:rsidTr="00404CD3">
        <w:trPr>
          <w:trHeight w:val="435"/>
        </w:trPr>
        <w:tc>
          <w:tcPr>
            <w:tcW w:w="338" w:type="pct"/>
            <w:tcMar>
              <w:left w:w="57" w:type="dxa"/>
              <w:right w:w="57" w:type="dxa"/>
            </w:tcMar>
            <w:vAlign w:val="center"/>
          </w:tcPr>
          <w:p w14:paraId="27C1E905" w14:textId="77777777" w:rsidR="006A161D" w:rsidRPr="00D93DFE" w:rsidRDefault="006A161D" w:rsidP="00404CD3">
            <w:pPr>
              <w:spacing w:befor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93DFE">
              <w:rPr>
                <w:rFonts w:eastAsia="Times New Roman"/>
                <w:b/>
                <w:bCs/>
                <w:lang w:eastAsia="ru-RU"/>
              </w:rPr>
              <w:t>№</w:t>
            </w:r>
          </w:p>
          <w:p w14:paraId="5515281A" w14:textId="77777777" w:rsidR="006A161D" w:rsidRPr="00D93DFE" w:rsidRDefault="006A161D" w:rsidP="00404CD3">
            <w:pPr>
              <w:spacing w:befor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93DFE">
              <w:rPr>
                <w:rFonts w:eastAsia="Times New Roman"/>
                <w:b/>
                <w:bCs/>
                <w:lang w:eastAsia="ru-RU"/>
              </w:rPr>
              <w:t>пункта</w:t>
            </w:r>
          </w:p>
        </w:tc>
        <w:tc>
          <w:tcPr>
            <w:tcW w:w="2235" w:type="pct"/>
            <w:vAlign w:val="center"/>
          </w:tcPr>
          <w:p w14:paraId="27B04BA2" w14:textId="77777777" w:rsidR="006A161D" w:rsidRPr="00D93DFE" w:rsidRDefault="006A161D" w:rsidP="00404CD3">
            <w:pPr>
              <w:spacing w:befor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93DFE">
              <w:rPr>
                <w:rFonts w:eastAsia="Times New Roman"/>
                <w:b/>
                <w:bCs/>
                <w:lang w:eastAsia="ru-RU"/>
              </w:rPr>
              <w:t>Редакция, действующая на момент</w:t>
            </w:r>
          </w:p>
          <w:p w14:paraId="315245B1" w14:textId="77777777" w:rsidR="006A161D" w:rsidRPr="00D93DFE" w:rsidRDefault="006A161D" w:rsidP="00404CD3">
            <w:pPr>
              <w:spacing w:befor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93DFE">
              <w:rPr>
                <w:rFonts w:eastAsia="Times New Roman"/>
                <w:b/>
                <w:bCs/>
                <w:lang w:eastAsia="ru-RU"/>
              </w:rPr>
              <w:t xml:space="preserve"> вступления в силу изменений</w:t>
            </w:r>
          </w:p>
        </w:tc>
        <w:tc>
          <w:tcPr>
            <w:tcW w:w="2427" w:type="pct"/>
            <w:vAlign w:val="center"/>
          </w:tcPr>
          <w:p w14:paraId="3C4867D9" w14:textId="77777777" w:rsidR="006A161D" w:rsidRPr="00D93DFE" w:rsidRDefault="006A161D" w:rsidP="00404CD3">
            <w:pPr>
              <w:spacing w:befor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93DFE">
              <w:rPr>
                <w:rFonts w:eastAsia="Times New Roman"/>
                <w:b/>
                <w:bCs/>
                <w:lang w:eastAsia="ru-RU"/>
              </w:rPr>
              <w:t>Предлагаемая редакция</w:t>
            </w:r>
          </w:p>
          <w:p w14:paraId="40C4D3C9" w14:textId="77777777" w:rsidR="006A161D" w:rsidRPr="00D93DFE" w:rsidRDefault="006A161D" w:rsidP="00404CD3">
            <w:pPr>
              <w:spacing w:before="0"/>
              <w:jc w:val="center"/>
              <w:rPr>
                <w:rFonts w:eastAsia="Times New Roman"/>
                <w:lang w:eastAsia="ru-RU"/>
              </w:rPr>
            </w:pPr>
            <w:r w:rsidRPr="00D93DFE">
              <w:rPr>
                <w:rFonts w:eastAsia="Times New Roman"/>
                <w:lang w:eastAsia="ru-RU"/>
              </w:rPr>
              <w:t>(изменения выделены цветом)</w:t>
            </w:r>
          </w:p>
        </w:tc>
      </w:tr>
      <w:tr w:rsidR="006A161D" w:rsidRPr="00D93DFE" w14:paraId="482AE9A0" w14:textId="77777777" w:rsidTr="00404CD3">
        <w:trPr>
          <w:trHeight w:val="435"/>
        </w:trPr>
        <w:tc>
          <w:tcPr>
            <w:tcW w:w="338" w:type="pct"/>
            <w:tcMar>
              <w:left w:w="57" w:type="dxa"/>
              <w:right w:w="57" w:type="dxa"/>
            </w:tcMar>
            <w:vAlign w:val="center"/>
          </w:tcPr>
          <w:p w14:paraId="73B0B828" w14:textId="0898A49D" w:rsidR="006A161D" w:rsidRDefault="006A161D" w:rsidP="00404CD3">
            <w:pPr>
              <w:spacing w:after="120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2.7</w:t>
            </w:r>
          </w:p>
        </w:tc>
        <w:tc>
          <w:tcPr>
            <w:tcW w:w="2235" w:type="pct"/>
          </w:tcPr>
          <w:p w14:paraId="33470C04" w14:textId="77777777" w:rsidR="00D556AE" w:rsidRPr="0010241F" w:rsidRDefault="00D556AE" w:rsidP="00404CD3">
            <w:pPr>
              <w:tabs>
                <w:tab w:val="left" w:pos="360"/>
              </w:tabs>
              <w:spacing w:after="120"/>
              <w:ind w:firstLine="540"/>
              <w:jc w:val="both"/>
              <w:rPr>
                <w:lang w:eastAsia="ko-KR"/>
              </w:rPr>
            </w:pPr>
            <w:bookmarkStart w:id="7" w:name="_Toc202868946"/>
            <w:bookmarkStart w:id="8" w:name="_Toc237077122"/>
            <w:r w:rsidRPr="00D0319F">
              <w:rPr>
                <w:lang w:eastAsia="ko-KR"/>
              </w:rPr>
              <w:t xml:space="preserve">Фактические </w:t>
            </w:r>
            <w:r w:rsidRPr="008A2E8C">
              <w:rPr>
                <w:lang w:eastAsia="ko-KR"/>
              </w:rPr>
              <w:t xml:space="preserve">параметры генерирующего оборудования, определенные по результатам тестирования и (или) приведенные к нормальным (номинальным) условиям, </w:t>
            </w:r>
            <w:r w:rsidRPr="008A2E8C">
              <w:t xml:space="preserve">а также данных, представленных участником оптового рынка, с учетом предусмотренных пунктом 9 настоящего Регламента особенностей, </w:t>
            </w:r>
            <w:r w:rsidRPr="008A2E8C">
              <w:rPr>
                <w:lang w:eastAsia="ko-KR"/>
              </w:rPr>
              <w:t>регистрируются СО в Реестре фактических параметров генерирующего оборудования, содержащем следующие</w:t>
            </w:r>
            <w:r w:rsidRPr="0010241F">
              <w:rPr>
                <w:lang w:eastAsia="ko-KR"/>
              </w:rPr>
              <w:t xml:space="preserve"> разделы:</w:t>
            </w:r>
            <w:bookmarkEnd w:id="7"/>
            <w:bookmarkEnd w:id="8"/>
            <w:r w:rsidRPr="0010241F">
              <w:rPr>
                <w:lang w:eastAsia="ko-KR"/>
              </w:rPr>
              <w:t xml:space="preserve"> </w:t>
            </w:r>
          </w:p>
          <w:p w14:paraId="47A4D044" w14:textId="77777777" w:rsidR="00D556AE" w:rsidRPr="0010241F" w:rsidRDefault="00D556AE" w:rsidP="00404CD3">
            <w:pPr>
              <w:numPr>
                <w:ilvl w:val="0"/>
                <w:numId w:val="34"/>
              </w:numPr>
              <w:suppressAutoHyphens w:val="0"/>
              <w:spacing w:after="120"/>
              <w:ind w:firstLine="143"/>
              <w:jc w:val="both"/>
              <w:rPr>
                <w:lang w:eastAsia="en-US"/>
              </w:rPr>
            </w:pPr>
            <w:r w:rsidRPr="0010241F">
              <w:rPr>
                <w:lang w:eastAsia="en-US"/>
              </w:rPr>
              <w:t>идентификационные данные генерирующего объекта;</w:t>
            </w:r>
          </w:p>
          <w:p w14:paraId="18D6A03D" w14:textId="77777777" w:rsidR="00D556AE" w:rsidRPr="0010241F" w:rsidRDefault="00D556AE" w:rsidP="00404CD3">
            <w:pPr>
              <w:numPr>
                <w:ilvl w:val="0"/>
                <w:numId w:val="34"/>
              </w:numPr>
              <w:suppressAutoHyphens w:val="0"/>
              <w:spacing w:after="120"/>
              <w:ind w:firstLine="143"/>
              <w:jc w:val="both"/>
              <w:rPr>
                <w:lang w:eastAsia="en-US"/>
              </w:rPr>
            </w:pPr>
            <w:r w:rsidRPr="0010241F">
              <w:rPr>
                <w:lang w:eastAsia="en-US"/>
              </w:rPr>
              <w:t>установленная мощность генерирующего оборудования;</w:t>
            </w:r>
          </w:p>
          <w:p w14:paraId="7CCE0E56" w14:textId="77777777" w:rsidR="00D556AE" w:rsidRPr="0010241F" w:rsidRDefault="00D556AE" w:rsidP="00404CD3">
            <w:pPr>
              <w:numPr>
                <w:ilvl w:val="0"/>
                <w:numId w:val="34"/>
              </w:numPr>
              <w:suppressAutoHyphens w:val="0"/>
              <w:spacing w:after="120"/>
              <w:ind w:firstLine="143"/>
              <w:jc w:val="both"/>
              <w:rPr>
                <w:lang w:eastAsia="en-US"/>
              </w:rPr>
            </w:pPr>
            <w:r w:rsidRPr="0010241F">
              <w:t>максимальная</w:t>
            </w:r>
            <w:r w:rsidRPr="0010241F">
              <w:rPr>
                <w:lang w:eastAsia="en-US"/>
              </w:rPr>
              <w:t xml:space="preserve"> располагаемая мощность генерирующего оборудования;</w:t>
            </w:r>
          </w:p>
          <w:p w14:paraId="0808F2B4" w14:textId="77777777" w:rsidR="00D556AE" w:rsidRPr="00AA015C" w:rsidRDefault="00D556AE" w:rsidP="00404CD3">
            <w:pPr>
              <w:widowControl w:val="0"/>
              <w:numPr>
                <w:ilvl w:val="0"/>
                <w:numId w:val="34"/>
              </w:numPr>
              <w:suppressAutoHyphens w:val="0"/>
              <w:spacing w:after="120"/>
              <w:ind w:firstLine="143"/>
              <w:jc w:val="both"/>
              <w:rPr>
                <w:lang w:eastAsia="en-US"/>
              </w:rPr>
            </w:pPr>
            <w:r w:rsidRPr="0010241F">
              <w:rPr>
                <w:lang w:eastAsia="en-US"/>
              </w:rPr>
              <w:t xml:space="preserve">технические </w:t>
            </w:r>
            <w:r w:rsidRPr="00AA015C">
              <w:rPr>
                <w:lang w:eastAsia="en-US"/>
              </w:rPr>
              <w:t xml:space="preserve">параметры генерирующего оборудования, </w:t>
            </w:r>
            <w:r w:rsidRPr="00AA015C">
              <w:t xml:space="preserve">перечень которых определяется </w:t>
            </w:r>
            <w:r w:rsidRPr="00AA015C">
              <w:rPr>
                <w:bCs/>
              </w:rPr>
              <w:t>решением Правительства РФ,</w:t>
            </w:r>
            <w:r w:rsidRPr="00AA015C">
              <w:t xml:space="preserve"> на основании которого осуществлялось строительство генерирующего объекта, и (или) условиями договора, по которому поставщик мощности осуществляет продажу мощности на оптовом рынке с использованием такого генерирующего оборудования</w:t>
            </w:r>
            <w:r w:rsidRPr="00AA015C">
              <w:rPr>
                <w:lang w:eastAsia="en-US"/>
              </w:rPr>
              <w:t>;</w:t>
            </w:r>
          </w:p>
          <w:p w14:paraId="5A53A7CD" w14:textId="77777777" w:rsidR="00D556AE" w:rsidRDefault="00D556AE" w:rsidP="00404CD3">
            <w:pPr>
              <w:widowControl w:val="0"/>
              <w:numPr>
                <w:ilvl w:val="0"/>
                <w:numId w:val="34"/>
              </w:numPr>
              <w:suppressAutoHyphens w:val="0"/>
              <w:spacing w:after="120"/>
              <w:ind w:firstLine="143"/>
              <w:jc w:val="both"/>
              <w:rPr>
                <w:lang w:eastAsia="en-US"/>
              </w:rPr>
            </w:pPr>
            <w:r w:rsidRPr="00AA015C">
              <w:rPr>
                <w:lang w:eastAsia="en-US"/>
              </w:rPr>
              <w:lastRenderedPageBreak/>
              <w:t>месторас</w:t>
            </w:r>
            <w:r>
              <w:rPr>
                <w:lang w:eastAsia="en-US"/>
              </w:rPr>
              <w:t>положение генерирующего объекта;</w:t>
            </w:r>
          </w:p>
          <w:p w14:paraId="56593717" w14:textId="77777777" w:rsidR="00D556AE" w:rsidRPr="000553B2" w:rsidRDefault="00D556AE" w:rsidP="00404CD3">
            <w:pPr>
              <w:widowControl w:val="0"/>
              <w:numPr>
                <w:ilvl w:val="0"/>
                <w:numId w:val="34"/>
              </w:numPr>
              <w:suppressAutoHyphens w:val="0"/>
              <w:spacing w:after="120"/>
              <w:ind w:firstLine="143"/>
              <w:jc w:val="both"/>
              <w:rPr>
                <w:lang w:eastAsia="en-US"/>
              </w:rPr>
            </w:pPr>
            <w:r w:rsidRPr="000553B2">
              <w:t>параметры и характеристики генерирующего оборудования (маркировка турбины, давление острого пара турбины, признак отнесения к блочному генерирующему оборудованию, признак работы в качестве приключенной турбины, признак работы в составе парогазовой установки, год выпуска турбины, год ввода в эксплуатацию турбины).</w:t>
            </w:r>
          </w:p>
          <w:p w14:paraId="3B036679" w14:textId="21236F34" w:rsidR="006A161D" w:rsidRDefault="00D556AE" w:rsidP="00404CD3">
            <w:pPr>
              <w:widowControl w:val="0"/>
              <w:spacing w:after="120"/>
              <w:ind w:firstLine="567"/>
              <w:jc w:val="both"/>
              <w:rPr>
                <w:lang w:eastAsia="en-US"/>
              </w:rPr>
            </w:pPr>
            <w:r w:rsidRPr="00AA015C">
              <w:t xml:space="preserve">Соответствие </w:t>
            </w:r>
            <w:r w:rsidRPr="00AA015C">
              <w:rPr>
                <w:lang w:eastAsia="ko-KR"/>
              </w:rPr>
              <w:t>фактических параметров генерирующего оборудования параметрам, указанным в договоре, является подтверждением надлежащего исполнения инвестиционных программ по строительству генерирующих объектов в части выполнения требований правил ОРЭМ.</w:t>
            </w:r>
          </w:p>
        </w:tc>
        <w:tc>
          <w:tcPr>
            <w:tcW w:w="2427" w:type="pct"/>
          </w:tcPr>
          <w:p w14:paraId="12056BC4" w14:textId="77777777" w:rsidR="00D556AE" w:rsidRPr="0010241F" w:rsidRDefault="00D556AE" w:rsidP="00404CD3">
            <w:pPr>
              <w:tabs>
                <w:tab w:val="left" w:pos="360"/>
              </w:tabs>
              <w:spacing w:after="120"/>
              <w:ind w:firstLine="540"/>
              <w:jc w:val="both"/>
              <w:rPr>
                <w:lang w:eastAsia="ko-KR"/>
              </w:rPr>
            </w:pPr>
            <w:r w:rsidRPr="00D0319F">
              <w:rPr>
                <w:lang w:eastAsia="ko-KR"/>
              </w:rPr>
              <w:lastRenderedPageBreak/>
              <w:t xml:space="preserve">Фактические </w:t>
            </w:r>
            <w:r w:rsidRPr="008A2E8C">
              <w:rPr>
                <w:lang w:eastAsia="ko-KR"/>
              </w:rPr>
              <w:t xml:space="preserve">параметры генерирующего оборудования, определенные по результатам тестирования и (или) приведенные к нормальным (номинальным) условиям, </w:t>
            </w:r>
            <w:r w:rsidRPr="008A2E8C">
              <w:t xml:space="preserve">а также данных, представленных участником оптового рынка, с учетом предусмотренных пунктом 9 настоящего Регламента особенностей, </w:t>
            </w:r>
            <w:r w:rsidRPr="008A2E8C">
              <w:rPr>
                <w:lang w:eastAsia="ko-KR"/>
              </w:rPr>
              <w:t>регистрируются СО в Реестре фактических параметров генерирующего оборудования, содержащем следующие</w:t>
            </w:r>
            <w:r w:rsidRPr="0010241F">
              <w:rPr>
                <w:lang w:eastAsia="ko-KR"/>
              </w:rPr>
              <w:t xml:space="preserve"> разделы: </w:t>
            </w:r>
          </w:p>
          <w:p w14:paraId="7503ED55" w14:textId="77777777" w:rsidR="00D556AE" w:rsidRPr="0010241F" w:rsidRDefault="00D556AE" w:rsidP="00404CD3">
            <w:pPr>
              <w:numPr>
                <w:ilvl w:val="0"/>
                <w:numId w:val="34"/>
              </w:numPr>
              <w:suppressAutoHyphens w:val="0"/>
              <w:spacing w:after="120"/>
              <w:ind w:firstLine="143"/>
              <w:jc w:val="both"/>
              <w:rPr>
                <w:lang w:eastAsia="en-US"/>
              </w:rPr>
            </w:pPr>
            <w:r w:rsidRPr="0010241F">
              <w:rPr>
                <w:lang w:eastAsia="en-US"/>
              </w:rPr>
              <w:t>идентификационные данные генерирующего объекта;</w:t>
            </w:r>
          </w:p>
          <w:p w14:paraId="32B4B963" w14:textId="77777777" w:rsidR="00D556AE" w:rsidRPr="0010241F" w:rsidRDefault="00D556AE" w:rsidP="00404CD3">
            <w:pPr>
              <w:numPr>
                <w:ilvl w:val="0"/>
                <w:numId w:val="34"/>
              </w:numPr>
              <w:suppressAutoHyphens w:val="0"/>
              <w:spacing w:after="120"/>
              <w:ind w:firstLine="143"/>
              <w:jc w:val="both"/>
              <w:rPr>
                <w:lang w:eastAsia="en-US"/>
              </w:rPr>
            </w:pPr>
            <w:r w:rsidRPr="0010241F">
              <w:rPr>
                <w:lang w:eastAsia="en-US"/>
              </w:rPr>
              <w:t>установленная мощность генерирующего оборудования;</w:t>
            </w:r>
          </w:p>
          <w:p w14:paraId="5A38C6D5" w14:textId="77777777" w:rsidR="00D556AE" w:rsidRPr="0010241F" w:rsidRDefault="00D556AE" w:rsidP="00404CD3">
            <w:pPr>
              <w:numPr>
                <w:ilvl w:val="0"/>
                <w:numId w:val="34"/>
              </w:numPr>
              <w:suppressAutoHyphens w:val="0"/>
              <w:spacing w:after="120"/>
              <w:ind w:firstLine="143"/>
              <w:jc w:val="both"/>
              <w:rPr>
                <w:lang w:eastAsia="en-US"/>
              </w:rPr>
            </w:pPr>
            <w:r w:rsidRPr="0010241F">
              <w:t>максимальная</w:t>
            </w:r>
            <w:r w:rsidRPr="0010241F">
              <w:rPr>
                <w:lang w:eastAsia="en-US"/>
              </w:rPr>
              <w:t xml:space="preserve"> располагаемая мощность генерирующего оборудования;</w:t>
            </w:r>
          </w:p>
          <w:p w14:paraId="4F30B83D" w14:textId="77777777" w:rsidR="00D556AE" w:rsidRPr="00AA015C" w:rsidRDefault="00D556AE" w:rsidP="00404CD3">
            <w:pPr>
              <w:widowControl w:val="0"/>
              <w:numPr>
                <w:ilvl w:val="0"/>
                <w:numId w:val="34"/>
              </w:numPr>
              <w:suppressAutoHyphens w:val="0"/>
              <w:spacing w:after="120"/>
              <w:ind w:firstLine="143"/>
              <w:jc w:val="both"/>
              <w:rPr>
                <w:lang w:eastAsia="en-US"/>
              </w:rPr>
            </w:pPr>
            <w:r w:rsidRPr="0010241F">
              <w:rPr>
                <w:lang w:eastAsia="en-US"/>
              </w:rPr>
              <w:t xml:space="preserve">технические </w:t>
            </w:r>
            <w:r w:rsidRPr="00AA015C">
              <w:rPr>
                <w:lang w:eastAsia="en-US"/>
              </w:rPr>
              <w:t xml:space="preserve">параметры генерирующего оборудования, </w:t>
            </w:r>
            <w:r w:rsidRPr="00AA015C">
              <w:t xml:space="preserve">перечень которых определяется </w:t>
            </w:r>
            <w:r w:rsidRPr="00AA015C">
              <w:rPr>
                <w:bCs/>
              </w:rPr>
              <w:t>решением Правительства РФ,</w:t>
            </w:r>
            <w:r w:rsidRPr="00AA015C">
              <w:t xml:space="preserve"> на основании которого осуществлялось строительство генерирующего объекта, и (или) условиями договора, по которому поставщик мощности осуществляет продажу мощности на оптовом рынке с использованием такого генерирующего оборудования</w:t>
            </w:r>
            <w:r w:rsidRPr="00AA015C">
              <w:rPr>
                <w:lang w:eastAsia="en-US"/>
              </w:rPr>
              <w:t>;</w:t>
            </w:r>
          </w:p>
          <w:p w14:paraId="1B18D45A" w14:textId="77777777" w:rsidR="00D556AE" w:rsidRDefault="00D556AE" w:rsidP="00404CD3">
            <w:pPr>
              <w:widowControl w:val="0"/>
              <w:numPr>
                <w:ilvl w:val="0"/>
                <w:numId w:val="34"/>
              </w:numPr>
              <w:suppressAutoHyphens w:val="0"/>
              <w:spacing w:after="120"/>
              <w:ind w:hanging="223"/>
              <w:jc w:val="both"/>
              <w:rPr>
                <w:lang w:eastAsia="en-US"/>
              </w:rPr>
            </w:pPr>
            <w:r w:rsidRPr="00AA015C">
              <w:rPr>
                <w:lang w:eastAsia="en-US"/>
              </w:rPr>
              <w:t>месторас</w:t>
            </w:r>
            <w:r>
              <w:rPr>
                <w:lang w:eastAsia="en-US"/>
              </w:rPr>
              <w:t>положение генерирующего объекта;</w:t>
            </w:r>
          </w:p>
          <w:p w14:paraId="22975285" w14:textId="254FB1BC" w:rsidR="00D556AE" w:rsidRPr="000553B2" w:rsidRDefault="00D556AE" w:rsidP="00404CD3">
            <w:pPr>
              <w:widowControl w:val="0"/>
              <w:numPr>
                <w:ilvl w:val="0"/>
                <w:numId w:val="34"/>
              </w:numPr>
              <w:suppressAutoHyphens w:val="0"/>
              <w:spacing w:after="120"/>
              <w:jc w:val="both"/>
              <w:rPr>
                <w:lang w:eastAsia="en-US"/>
              </w:rPr>
            </w:pPr>
            <w:r w:rsidRPr="000553B2">
              <w:t xml:space="preserve">параметры и характеристики генерирующего оборудования (маркировка </w:t>
            </w:r>
            <w:r w:rsidRPr="000553B2">
              <w:lastRenderedPageBreak/>
              <w:t>турбины, давление острого пара турбины, признак отнесения к блочному генерирующему оборудованию, признак работы в качестве приключенной турбины</w:t>
            </w:r>
            <w:r w:rsidR="002645BF">
              <w:t xml:space="preserve"> </w:t>
            </w:r>
            <w:r w:rsidR="00FC45FE">
              <w:rPr>
                <w:highlight w:val="yellow"/>
              </w:rPr>
              <w:t xml:space="preserve">(в </w:t>
            </w:r>
            <w:proofErr w:type="spellStart"/>
            <w:r w:rsidR="00FC45FE">
              <w:rPr>
                <w:highlight w:val="yellow"/>
              </w:rPr>
              <w:t>т.ч</w:t>
            </w:r>
            <w:proofErr w:type="spellEnd"/>
            <w:r w:rsidR="00FC45FE">
              <w:rPr>
                <w:highlight w:val="yellow"/>
              </w:rPr>
              <w:t>. турбины, снабжение паром которой</w:t>
            </w:r>
            <w:r w:rsidR="006B269F">
              <w:rPr>
                <w:highlight w:val="yellow"/>
              </w:rPr>
              <w:t>,</w:t>
            </w:r>
            <w:r w:rsidR="00FC45FE">
              <w:rPr>
                <w:highlight w:val="yellow"/>
              </w:rPr>
              <w:t xml:space="preserve"> кроме пара от </w:t>
            </w:r>
            <w:proofErr w:type="spellStart"/>
            <w:r w:rsidR="00FC45FE">
              <w:rPr>
                <w:highlight w:val="yellow"/>
              </w:rPr>
              <w:t>предвключенных</w:t>
            </w:r>
            <w:proofErr w:type="spellEnd"/>
            <w:r w:rsidR="00FC45FE">
              <w:rPr>
                <w:highlight w:val="yellow"/>
              </w:rPr>
              <w:t xml:space="preserve"> турбин, допускается от альтернативных источников пара (</w:t>
            </w:r>
            <w:proofErr w:type="spellStart"/>
            <w:r w:rsidR="00FC45FE">
              <w:rPr>
                <w:highlight w:val="yellow"/>
              </w:rPr>
              <w:t>котлоагрегаты</w:t>
            </w:r>
            <w:proofErr w:type="spellEnd"/>
            <w:r w:rsidR="00FC45FE">
              <w:rPr>
                <w:highlight w:val="yellow"/>
              </w:rPr>
              <w:t xml:space="preserve">, </w:t>
            </w:r>
            <w:proofErr w:type="spellStart"/>
            <w:r w:rsidR="00FC45FE">
              <w:rPr>
                <w:highlight w:val="yellow"/>
              </w:rPr>
              <w:t>РОУ</w:t>
            </w:r>
            <w:proofErr w:type="spellEnd"/>
            <w:r w:rsidR="00FC45FE">
              <w:rPr>
                <w:highlight w:val="yellow"/>
              </w:rPr>
              <w:t xml:space="preserve">, </w:t>
            </w:r>
            <w:proofErr w:type="spellStart"/>
            <w:r w:rsidR="00FC45FE">
              <w:rPr>
                <w:highlight w:val="yellow"/>
              </w:rPr>
              <w:t>БРОУ</w:t>
            </w:r>
            <w:proofErr w:type="spellEnd"/>
            <w:r w:rsidR="00FC45FE">
              <w:rPr>
                <w:highlight w:val="yellow"/>
              </w:rPr>
              <w:t>))</w:t>
            </w:r>
            <w:r w:rsidRPr="000553B2">
              <w:t>, признак работы в составе парогазовой установки, год выпуска турбины, год ввода в эксплуатацию турбины).</w:t>
            </w:r>
          </w:p>
          <w:p w14:paraId="1B0FCCA7" w14:textId="7C64850A" w:rsidR="006A161D" w:rsidRPr="00F2706F" w:rsidRDefault="00D556AE" w:rsidP="00404CD3">
            <w:pPr>
              <w:widowControl w:val="0"/>
              <w:spacing w:after="120"/>
              <w:ind w:firstLine="567"/>
              <w:jc w:val="both"/>
              <w:rPr>
                <w:lang w:eastAsia="en-US"/>
              </w:rPr>
            </w:pPr>
            <w:r w:rsidRPr="00AA015C">
              <w:t xml:space="preserve">Соответствие </w:t>
            </w:r>
            <w:r w:rsidRPr="00AA015C">
              <w:rPr>
                <w:lang w:eastAsia="ko-KR"/>
              </w:rPr>
              <w:t>фактических параметров генерирующего оборудования параметрам, указанным в договоре, является подтверждением надлежащего исполнения инвестиционных программ по строительству генерирующих объектов в части выполнения требований правил ОРЭМ.</w:t>
            </w:r>
          </w:p>
        </w:tc>
      </w:tr>
      <w:tr w:rsidR="00D556AE" w:rsidRPr="00D93DFE" w14:paraId="174B6101" w14:textId="77777777" w:rsidTr="00404CD3">
        <w:trPr>
          <w:trHeight w:val="435"/>
        </w:trPr>
        <w:tc>
          <w:tcPr>
            <w:tcW w:w="338" w:type="pct"/>
            <w:tcMar>
              <w:left w:w="57" w:type="dxa"/>
              <w:right w:w="57" w:type="dxa"/>
            </w:tcMar>
            <w:vAlign w:val="center"/>
          </w:tcPr>
          <w:p w14:paraId="48434690" w14:textId="5FFE3A24" w:rsidR="00D556AE" w:rsidRDefault="00D556AE" w:rsidP="00404CD3">
            <w:pPr>
              <w:spacing w:after="120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lastRenderedPageBreak/>
              <w:t>9.1</w:t>
            </w:r>
          </w:p>
        </w:tc>
        <w:tc>
          <w:tcPr>
            <w:tcW w:w="2235" w:type="pct"/>
          </w:tcPr>
          <w:p w14:paraId="05D95164" w14:textId="77777777" w:rsidR="00D556AE" w:rsidRPr="006A4A02" w:rsidRDefault="00D556AE" w:rsidP="00404CD3">
            <w:pPr>
              <w:widowControl w:val="0"/>
              <w:spacing w:after="120"/>
              <w:ind w:firstLine="567"/>
              <w:jc w:val="both"/>
            </w:pPr>
            <w:r w:rsidRPr="006A4A02">
              <w:t>Порядок ведения информации о параметрах и характеристиках генерирующего оборудования в составе Реестра фактических параметров генерирующего оборудования, заполняемых на основании данных, представленных участником</w:t>
            </w:r>
          </w:p>
          <w:p w14:paraId="7D1428F0" w14:textId="0B608FDB" w:rsidR="00D556AE" w:rsidRPr="00B21607" w:rsidRDefault="00D556AE" w:rsidP="00404CD3">
            <w:pPr>
              <w:widowControl w:val="0"/>
              <w:spacing w:after="120"/>
              <w:ind w:firstLine="460"/>
              <w:jc w:val="both"/>
            </w:pPr>
            <w:r w:rsidRPr="00B21607">
              <w:t xml:space="preserve">К параметрам и характеристикам генерирующего оборудования, включаемым в Реестр фактических параметров генерирующего оборудования на основании данных, представленных участником, относятся маркировка турбины, давление острого пара турбины, отнесение генерирующего оборудования к блочному, признак работы генерирующего оборудования в составе парогазовой установки, год выпуска турбины, год ввода в эксплуатацию турбины, признак работы в качестве приключенной турбины, </w:t>
            </w:r>
            <w:bookmarkStart w:id="9" w:name="_Hlk175236035"/>
            <w:r w:rsidRPr="00B21607">
              <w:t>признак отнесения ЕГО к группе</w:t>
            </w:r>
            <w:r w:rsidR="00B1716C">
              <w:t xml:space="preserve"> </w:t>
            </w:r>
            <w:r w:rsidRPr="00B21607">
              <w:t>ЕГО, режим работы которых взаимосвязан</w:t>
            </w:r>
            <w:bookmarkEnd w:id="9"/>
            <w:r w:rsidRPr="00B21607">
              <w:t>.</w:t>
            </w:r>
          </w:p>
          <w:p w14:paraId="09738790" w14:textId="77777777" w:rsidR="00D556AE" w:rsidRPr="006A4A02" w:rsidRDefault="00D556AE" w:rsidP="00404CD3">
            <w:pPr>
              <w:widowControl w:val="0"/>
              <w:spacing w:after="120"/>
              <w:ind w:firstLine="460"/>
              <w:jc w:val="both"/>
            </w:pPr>
            <w:r>
              <w:t>В</w:t>
            </w:r>
            <w:r w:rsidRPr="006A4A02">
              <w:t xml:space="preserve">несение изменений в Реестр фактических параметров генерирующего оборудования в части указанных в настоящем пункте параметров и характеристик генерирующего оборудования осуществляется на основании заявления участника оптового рынка о необходимости корректировки данных, оформленного в соответствии с </w:t>
            </w:r>
            <w:r w:rsidRPr="006A4A02">
              <w:rPr>
                <w:i/>
              </w:rPr>
              <w:t>Порядком установления соответствия генерирующего оборудования участников оптового рынка техническим требованиям</w:t>
            </w:r>
            <w:r w:rsidRPr="006A4A02">
              <w:t>, с представлением обосновывающих документов. Представленное заявление рассматривается СО в срок, не превышающий 14 рабочих дней. По результатам рассмотрения СО вносит изменения в Реестр фактических параметров генерирующего оборудования либо направляет участнику оптового рынка мотивированный отказ, путем публикации в персональном разделе участника оптового рынка на сайте ОРЭМ.</w:t>
            </w:r>
          </w:p>
          <w:p w14:paraId="302442E8" w14:textId="77777777" w:rsidR="00D556AE" w:rsidRPr="006A4A02" w:rsidRDefault="00D556AE" w:rsidP="00404CD3">
            <w:pPr>
              <w:widowControl w:val="0"/>
              <w:spacing w:after="120"/>
              <w:ind w:firstLine="460"/>
              <w:jc w:val="both"/>
            </w:pPr>
            <w:r w:rsidRPr="006A4A02">
              <w:t xml:space="preserve">Участники оптового рынка при изменении указанных в настоящем пункте параметров и характеристик в отношении введенного в эксплуатацию генерирующего оборудования обязаны в течение 5 (пяти) рабочих дней в порядке, установленном настоящим пунктом, направить </w:t>
            </w:r>
            <w:proofErr w:type="gramStart"/>
            <w:r w:rsidRPr="006A4A02">
              <w:t>в СО</w:t>
            </w:r>
            <w:proofErr w:type="gramEnd"/>
            <w:r w:rsidRPr="006A4A02">
              <w:t xml:space="preserve"> заявление о необходимости корректировки данных.</w:t>
            </w:r>
          </w:p>
          <w:p w14:paraId="57F6E824" w14:textId="31BBFB40" w:rsidR="00D556AE" w:rsidRPr="00404CD3" w:rsidRDefault="00D556AE" w:rsidP="00404CD3">
            <w:pPr>
              <w:widowControl w:val="0"/>
              <w:spacing w:after="120"/>
              <w:ind w:firstLine="540"/>
              <w:jc w:val="both"/>
              <w:rPr>
                <w:b/>
              </w:rPr>
            </w:pPr>
            <w:r w:rsidRPr="006A4A02">
              <w:t>В отношении вновь вводимого/модернизируемого генерирующего оборудования указанные в настоящем пункте данные представляются совместно с заявлением об учете результатов тестирования (испытаний) для целей аттестации, направляемого в соответствии с п. 4.6 настоящего Регламента.</w:t>
            </w:r>
          </w:p>
        </w:tc>
        <w:tc>
          <w:tcPr>
            <w:tcW w:w="2427" w:type="pct"/>
          </w:tcPr>
          <w:p w14:paraId="57DEFEA7" w14:textId="77777777" w:rsidR="00D556AE" w:rsidRPr="006A4A02" w:rsidRDefault="00D556AE" w:rsidP="00404CD3">
            <w:pPr>
              <w:widowControl w:val="0"/>
              <w:spacing w:after="120"/>
              <w:ind w:firstLine="567"/>
              <w:jc w:val="both"/>
            </w:pPr>
            <w:r w:rsidRPr="006A4A02">
              <w:t>Порядок ведения информации о параметрах и характеристиках генерирующего оборудования в составе Реестра фактических параметров генерирующего оборудования, заполняемых на основании данных, представленных участником</w:t>
            </w:r>
          </w:p>
          <w:p w14:paraId="20DC3EA3" w14:textId="7D624C9D" w:rsidR="00D556AE" w:rsidRPr="00B21607" w:rsidRDefault="00D556AE" w:rsidP="00404CD3">
            <w:pPr>
              <w:widowControl w:val="0"/>
              <w:spacing w:after="120"/>
              <w:ind w:firstLine="460"/>
              <w:jc w:val="both"/>
            </w:pPr>
            <w:r w:rsidRPr="00B21607">
              <w:t>К параметрам и характеристикам генерирующего оборудования, включаемым в Реестр фактических параметров генерирующего оборудования на основании данных, представленных участником, относятся маркировка турбины, давление острого пара турбины, отнесение генерирующего оборудования к блочному, признак работы генерирующего оборудования в составе парогазовой установки, год выпуска турбины, год ввода в эксплуатацию турбины, признак работы в качестве приключенной турбины</w:t>
            </w:r>
            <w:r w:rsidR="002645BF">
              <w:t xml:space="preserve"> </w:t>
            </w:r>
            <w:r w:rsidR="00FC45FE">
              <w:rPr>
                <w:highlight w:val="yellow"/>
              </w:rPr>
              <w:t xml:space="preserve">(в </w:t>
            </w:r>
            <w:proofErr w:type="spellStart"/>
            <w:r w:rsidR="00FC45FE">
              <w:rPr>
                <w:highlight w:val="yellow"/>
              </w:rPr>
              <w:t>т.ч</w:t>
            </w:r>
            <w:proofErr w:type="spellEnd"/>
            <w:r w:rsidR="00FC45FE">
              <w:rPr>
                <w:highlight w:val="yellow"/>
              </w:rPr>
              <w:t>. турбины, снабжение паром которой</w:t>
            </w:r>
            <w:r w:rsidR="006B269F">
              <w:rPr>
                <w:highlight w:val="yellow"/>
              </w:rPr>
              <w:t>,</w:t>
            </w:r>
            <w:r w:rsidR="00FC45FE">
              <w:rPr>
                <w:highlight w:val="yellow"/>
              </w:rPr>
              <w:t xml:space="preserve"> кроме пара от </w:t>
            </w:r>
            <w:proofErr w:type="spellStart"/>
            <w:r w:rsidR="00FC45FE">
              <w:rPr>
                <w:highlight w:val="yellow"/>
              </w:rPr>
              <w:t>предвключенных</w:t>
            </w:r>
            <w:proofErr w:type="spellEnd"/>
            <w:r w:rsidR="00FC45FE">
              <w:rPr>
                <w:highlight w:val="yellow"/>
              </w:rPr>
              <w:t xml:space="preserve"> турбин, допускается от альтернативных источников пара (</w:t>
            </w:r>
            <w:proofErr w:type="spellStart"/>
            <w:r w:rsidR="00FC45FE">
              <w:rPr>
                <w:highlight w:val="yellow"/>
              </w:rPr>
              <w:t>котлоагрегаты</w:t>
            </w:r>
            <w:proofErr w:type="spellEnd"/>
            <w:r w:rsidR="00FC45FE">
              <w:rPr>
                <w:highlight w:val="yellow"/>
              </w:rPr>
              <w:t xml:space="preserve">, </w:t>
            </w:r>
            <w:proofErr w:type="spellStart"/>
            <w:r w:rsidR="00FC45FE">
              <w:rPr>
                <w:highlight w:val="yellow"/>
              </w:rPr>
              <w:t>РОУ</w:t>
            </w:r>
            <w:proofErr w:type="spellEnd"/>
            <w:r w:rsidR="00FC45FE">
              <w:rPr>
                <w:highlight w:val="yellow"/>
              </w:rPr>
              <w:t xml:space="preserve">, </w:t>
            </w:r>
            <w:proofErr w:type="spellStart"/>
            <w:r w:rsidR="00FC45FE">
              <w:rPr>
                <w:highlight w:val="yellow"/>
              </w:rPr>
              <w:t>БРОУ</w:t>
            </w:r>
            <w:proofErr w:type="spellEnd"/>
            <w:r w:rsidR="00FC45FE">
              <w:rPr>
                <w:highlight w:val="yellow"/>
              </w:rPr>
              <w:t>))</w:t>
            </w:r>
            <w:r w:rsidRPr="00B21607">
              <w:t>, признак отнесения ЕГО к группе  ЕГО, режим работы которых взаимосвязан.</w:t>
            </w:r>
          </w:p>
          <w:p w14:paraId="3C5BB142" w14:textId="77777777" w:rsidR="00D556AE" w:rsidRPr="006A4A02" w:rsidRDefault="00D556AE" w:rsidP="00404CD3">
            <w:pPr>
              <w:widowControl w:val="0"/>
              <w:spacing w:after="120"/>
              <w:ind w:firstLine="460"/>
              <w:jc w:val="both"/>
            </w:pPr>
            <w:r>
              <w:t>В</w:t>
            </w:r>
            <w:r w:rsidRPr="006A4A02">
              <w:t xml:space="preserve">несение изменений в Реестр фактических параметров генерирующего оборудования в части указанных в настоящем пункте параметров и характеристик генерирующего оборудования осуществляется на основании заявления участника оптового рынка о необходимости корректировки данных, оформленного в соответствии с </w:t>
            </w:r>
            <w:r w:rsidRPr="006A4A02">
              <w:rPr>
                <w:i/>
              </w:rPr>
              <w:t>Порядком установления соответствия генерирующего оборудования участников оптового рынка техническим требованиям</w:t>
            </w:r>
            <w:r w:rsidRPr="006A4A02">
              <w:t>, с представлением обосновывающих документов. Представленное заявление рассматривается СО в срок, не превышающий 14 рабочих дней. По результатам рассмотрения СО вносит изменения в Реестр фактических параметров генерирующего оборудования либо направляет участнику оптового рынка мотивированный отказ, путем публикации в персональном разделе участника оптового рынка на сайте ОРЭМ.</w:t>
            </w:r>
          </w:p>
          <w:p w14:paraId="24ABF3BD" w14:textId="77777777" w:rsidR="00D556AE" w:rsidRPr="006A4A02" w:rsidRDefault="00D556AE" w:rsidP="00404CD3">
            <w:pPr>
              <w:widowControl w:val="0"/>
              <w:spacing w:after="120"/>
              <w:ind w:firstLine="460"/>
              <w:jc w:val="both"/>
            </w:pPr>
            <w:r w:rsidRPr="006A4A02">
              <w:t xml:space="preserve">Участники оптового рынка при изменении указанных в настоящем пункте параметров и характеристик в отношении введенного в эксплуатацию генерирующего оборудования обязаны в течение 5 (пяти) рабочих дней в порядке, установленном настоящим пунктом, направить </w:t>
            </w:r>
            <w:proofErr w:type="gramStart"/>
            <w:r w:rsidRPr="006A4A02">
              <w:t>в СО</w:t>
            </w:r>
            <w:proofErr w:type="gramEnd"/>
            <w:r w:rsidRPr="006A4A02">
              <w:t xml:space="preserve"> заявление о необходимости корректировки данных.</w:t>
            </w:r>
          </w:p>
          <w:p w14:paraId="36348126" w14:textId="5EAE1D81" w:rsidR="00D556AE" w:rsidRPr="00404CD3" w:rsidRDefault="00D556AE" w:rsidP="00404CD3">
            <w:pPr>
              <w:widowControl w:val="0"/>
              <w:spacing w:after="120"/>
              <w:ind w:firstLine="540"/>
              <w:jc w:val="both"/>
              <w:rPr>
                <w:b/>
              </w:rPr>
            </w:pPr>
            <w:r w:rsidRPr="006A4A02">
              <w:t>В отношении вновь вводимого/модернизируемого генерирующего оборудования указанные в настоящем пункте данные представляются совместно с заявлением об учете результатов тестирования (испытаний) для целей аттестации, направляемого в соответствии с п. 4.6 настоящего Регламента.</w:t>
            </w:r>
          </w:p>
        </w:tc>
      </w:tr>
    </w:tbl>
    <w:p w14:paraId="163275FB" w14:textId="3F408E28" w:rsidR="006A161D" w:rsidRDefault="006A161D" w:rsidP="00404CD3">
      <w:pPr>
        <w:tabs>
          <w:tab w:val="left" w:pos="709"/>
        </w:tabs>
        <w:spacing w:before="0"/>
        <w:jc w:val="both"/>
      </w:pPr>
    </w:p>
    <w:p w14:paraId="02AB5720" w14:textId="1FE3C35C" w:rsidR="002645BF" w:rsidRDefault="002645BF" w:rsidP="00404CD3">
      <w:pPr>
        <w:spacing w:before="0"/>
        <w:rPr>
          <w:b/>
          <w:sz w:val="26"/>
          <w:szCs w:val="26"/>
        </w:rPr>
      </w:pPr>
      <w:r w:rsidRPr="00FA2393">
        <w:rPr>
          <w:b/>
          <w:bCs/>
          <w:sz w:val="26"/>
          <w:szCs w:val="26"/>
        </w:rPr>
        <w:t>Предложения по изменениям и дополнениям в</w:t>
      </w:r>
      <w:r w:rsidRPr="00FA2393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ПЕРЕЧЕНЬ ОПРЕДЕЛЕНИЙ И ПРИНЯТЫХ СОКРАЩЕНИЙ </w:t>
      </w:r>
      <w:r w:rsidRPr="00FA2393">
        <w:rPr>
          <w:b/>
          <w:sz w:val="26"/>
          <w:szCs w:val="26"/>
        </w:rPr>
        <w:t xml:space="preserve">(Приложение № </w:t>
      </w:r>
      <w:r>
        <w:rPr>
          <w:b/>
          <w:sz w:val="26"/>
          <w:szCs w:val="26"/>
        </w:rPr>
        <w:t>17</w:t>
      </w:r>
      <w:r w:rsidRPr="00FA2393">
        <w:rPr>
          <w:b/>
          <w:sz w:val="26"/>
          <w:szCs w:val="26"/>
        </w:rPr>
        <w:t xml:space="preserve"> к </w:t>
      </w:r>
      <w:r w:rsidRPr="00FA2393">
        <w:rPr>
          <w:b/>
          <w:bCs/>
          <w:sz w:val="26"/>
          <w:szCs w:val="26"/>
        </w:rPr>
        <w:t>Договору о присоединении к торговой системе оптового рынка</w:t>
      </w:r>
      <w:r w:rsidRPr="00FA2393">
        <w:rPr>
          <w:b/>
          <w:sz w:val="26"/>
          <w:szCs w:val="26"/>
        </w:rPr>
        <w:t>)</w:t>
      </w:r>
    </w:p>
    <w:p w14:paraId="7FCA649A" w14:textId="77777777" w:rsidR="00404CD3" w:rsidRDefault="00404CD3" w:rsidP="00404CD3">
      <w:pPr>
        <w:spacing w:before="0"/>
        <w:rPr>
          <w:b/>
          <w:sz w:val="26"/>
          <w:szCs w:val="26"/>
        </w:rPr>
      </w:pPr>
    </w:p>
    <w:tbl>
      <w:tblPr>
        <w:tblW w:w="1488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686"/>
        <w:gridCol w:w="10205"/>
      </w:tblGrid>
      <w:tr w:rsidR="00423C8C" w:rsidRPr="00EA6615" w14:paraId="272A4854" w14:textId="77777777" w:rsidTr="00404CD3">
        <w:trPr>
          <w:trHeight w:val="579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C2697" w14:textId="77777777" w:rsidR="00423C8C" w:rsidRDefault="00423C8C" w:rsidP="00404CD3">
            <w:pPr>
              <w:widowControl w:val="0"/>
              <w:spacing w:before="0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№</w:t>
            </w:r>
          </w:p>
          <w:p w14:paraId="13414912" w14:textId="77777777" w:rsidR="00423C8C" w:rsidRPr="00EA6615" w:rsidRDefault="00423C8C" w:rsidP="00404CD3">
            <w:pPr>
              <w:spacing w:before="0"/>
              <w:jc w:val="center"/>
              <w:rPr>
                <w:b/>
                <w:bCs/>
              </w:rPr>
            </w:pPr>
            <w:r>
              <w:rPr>
                <w:b/>
                <w:bCs/>
                <w:lang w:eastAsia="en-US"/>
              </w:rPr>
              <w:t>пункта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D05B0" w14:textId="77777777" w:rsidR="00423C8C" w:rsidRDefault="00423C8C" w:rsidP="00404CD3">
            <w:pPr>
              <w:widowControl w:val="0"/>
              <w:spacing w:before="0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Редакция, действующая на момент</w:t>
            </w:r>
          </w:p>
          <w:p w14:paraId="04F01C17" w14:textId="77777777" w:rsidR="00423C8C" w:rsidRPr="00EA6615" w:rsidRDefault="00423C8C" w:rsidP="00404CD3">
            <w:pPr>
              <w:spacing w:before="0"/>
              <w:jc w:val="center"/>
              <w:rPr>
                <w:b/>
                <w:bCs/>
              </w:rPr>
            </w:pPr>
            <w:r>
              <w:rPr>
                <w:b/>
                <w:bCs/>
                <w:lang w:eastAsia="en-US"/>
              </w:rPr>
              <w:t xml:space="preserve"> вступления в силу изменений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24818" w14:textId="77777777" w:rsidR="00423C8C" w:rsidRDefault="00423C8C" w:rsidP="00404CD3">
            <w:pPr>
              <w:widowControl w:val="0"/>
              <w:spacing w:before="0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Предлагаемая редакция</w:t>
            </w:r>
          </w:p>
          <w:p w14:paraId="5D447ADD" w14:textId="77777777" w:rsidR="00423C8C" w:rsidRPr="00EA6615" w:rsidRDefault="00423C8C" w:rsidP="00404CD3">
            <w:pPr>
              <w:spacing w:before="0"/>
              <w:jc w:val="center"/>
              <w:rPr>
                <w:b/>
                <w:bCs/>
              </w:rPr>
            </w:pPr>
            <w:r>
              <w:rPr>
                <w:lang w:eastAsia="en-US"/>
              </w:rPr>
              <w:t>(изменения выделены цветом)</w:t>
            </w:r>
          </w:p>
        </w:tc>
      </w:tr>
      <w:tr w:rsidR="00423C8C" w:rsidRPr="00EA6615" w14:paraId="53DF2189" w14:textId="77777777" w:rsidTr="00404CD3">
        <w:trPr>
          <w:trHeight w:val="5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58267" w14:textId="3848B24F" w:rsidR="00423C8C" w:rsidRPr="00EA6615" w:rsidRDefault="00423C8C" w:rsidP="002C7855">
            <w:pPr>
              <w:widowControl w:val="0"/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729F" w14:textId="77777777" w:rsidR="00423C8C" w:rsidRPr="00875FF6" w:rsidRDefault="00423C8C" w:rsidP="002C7855">
            <w:pPr>
              <w:widowControl w:val="0"/>
              <w:tabs>
                <w:tab w:val="num" w:pos="0"/>
                <w:tab w:val="left" w:pos="1200"/>
              </w:tabs>
              <w:spacing w:after="120"/>
              <w:jc w:val="both"/>
              <w:rPr>
                <w:rFonts w:cstheme="minorHAnsi"/>
                <w:b/>
              </w:rPr>
            </w:pPr>
            <w:r w:rsidRPr="00875FF6">
              <w:rPr>
                <w:b/>
              </w:rPr>
              <w:t>Добавить определение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2295B" w14:textId="3F2222A3" w:rsidR="00423C8C" w:rsidRPr="0089563A" w:rsidRDefault="00423C8C" w:rsidP="002C7855">
            <w:pPr>
              <w:widowControl w:val="0"/>
              <w:tabs>
                <w:tab w:val="num" w:pos="0"/>
                <w:tab w:val="left" w:pos="1200"/>
              </w:tabs>
              <w:spacing w:after="120"/>
              <w:jc w:val="both"/>
              <w:rPr>
                <w:b/>
                <w:highlight w:val="yellow"/>
              </w:rPr>
            </w:pPr>
            <w:proofErr w:type="spellStart"/>
            <w:r>
              <w:rPr>
                <w:b/>
                <w:highlight w:val="yellow"/>
              </w:rPr>
              <w:t>Предвключенная</w:t>
            </w:r>
            <w:proofErr w:type="spellEnd"/>
            <w:r>
              <w:rPr>
                <w:b/>
                <w:highlight w:val="yellow"/>
              </w:rPr>
              <w:t xml:space="preserve"> паровая стационарна</w:t>
            </w:r>
            <w:r w:rsidR="006B269F">
              <w:rPr>
                <w:b/>
                <w:highlight w:val="yellow"/>
              </w:rPr>
              <w:t>я</w:t>
            </w:r>
            <w:r>
              <w:rPr>
                <w:b/>
                <w:highlight w:val="yellow"/>
              </w:rPr>
              <w:t xml:space="preserve"> турбина</w:t>
            </w:r>
          </w:p>
          <w:p w14:paraId="661BCEF3" w14:textId="0E74DD9A" w:rsidR="00423C8C" w:rsidRPr="00765682" w:rsidRDefault="00423C8C" w:rsidP="00423C8C">
            <w:pPr>
              <w:widowControl w:val="0"/>
              <w:tabs>
                <w:tab w:val="num" w:pos="0"/>
                <w:tab w:val="left" w:pos="1200"/>
              </w:tabs>
              <w:spacing w:after="120"/>
              <w:jc w:val="both"/>
              <w:rPr>
                <w:rFonts w:cstheme="minorHAnsi"/>
              </w:rPr>
            </w:pPr>
            <w:r>
              <w:rPr>
                <w:highlight w:val="yellow"/>
              </w:rPr>
              <w:t>Паровая стационарная турбина с противодавлением, отработавший пар которой используется в другой паровой турбине</w:t>
            </w:r>
            <w:r w:rsidRPr="00EF5DB1">
              <w:rPr>
                <w:highlight w:val="yellow"/>
              </w:rPr>
              <w:t>.</w:t>
            </w:r>
          </w:p>
        </w:tc>
      </w:tr>
      <w:tr w:rsidR="00423C8C" w:rsidRPr="00EA6615" w14:paraId="7DAE12B4" w14:textId="77777777" w:rsidTr="00404CD3">
        <w:trPr>
          <w:trHeight w:val="5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4259E" w14:textId="77777777" w:rsidR="00423C8C" w:rsidRDefault="00423C8C" w:rsidP="002C7855">
            <w:pPr>
              <w:widowControl w:val="0"/>
              <w:spacing w:after="120"/>
              <w:jc w:val="center"/>
              <w:rPr>
                <w:b/>
                <w:bCs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FA55" w14:textId="105060C2" w:rsidR="00423C8C" w:rsidRPr="00875FF6" w:rsidRDefault="00423C8C" w:rsidP="002C7855">
            <w:pPr>
              <w:widowControl w:val="0"/>
              <w:tabs>
                <w:tab w:val="num" w:pos="0"/>
                <w:tab w:val="left" w:pos="1200"/>
              </w:tabs>
              <w:spacing w:after="120"/>
              <w:jc w:val="both"/>
              <w:rPr>
                <w:b/>
              </w:rPr>
            </w:pPr>
            <w:r>
              <w:rPr>
                <w:b/>
              </w:rPr>
              <w:t>Добавить сокращение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E2171" w14:textId="77777777" w:rsidR="00423C8C" w:rsidRDefault="00423C8C" w:rsidP="002C7855">
            <w:pPr>
              <w:widowControl w:val="0"/>
              <w:tabs>
                <w:tab w:val="num" w:pos="0"/>
                <w:tab w:val="left" w:pos="1200"/>
              </w:tabs>
              <w:spacing w:after="120"/>
              <w:jc w:val="both"/>
              <w:rPr>
                <w:b/>
                <w:highlight w:val="yellow"/>
              </w:rPr>
            </w:pPr>
            <w:proofErr w:type="spellStart"/>
            <w:r>
              <w:rPr>
                <w:b/>
                <w:highlight w:val="yellow"/>
              </w:rPr>
              <w:t>РОУ</w:t>
            </w:r>
            <w:proofErr w:type="spellEnd"/>
          </w:p>
          <w:p w14:paraId="70E78A35" w14:textId="62BF0064" w:rsidR="00423C8C" w:rsidRDefault="00423C8C" w:rsidP="00423C8C">
            <w:pPr>
              <w:widowControl w:val="0"/>
              <w:tabs>
                <w:tab w:val="num" w:pos="0"/>
                <w:tab w:val="left" w:pos="1200"/>
              </w:tabs>
              <w:spacing w:after="120"/>
              <w:jc w:val="both"/>
              <w:rPr>
                <w:b/>
                <w:highlight w:val="yellow"/>
              </w:rPr>
            </w:pPr>
            <w:r w:rsidRPr="00423C8C">
              <w:rPr>
                <w:highlight w:val="yellow"/>
              </w:rPr>
              <w:t>редукционно-охладительн</w:t>
            </w:r>
            <w:r>
              <w:rPr>
                <w:highlight w:val="yellow"/>
              </w:rPr>
              <w:t>ая</w:t>
            </w:r>
            <w:r w:rsidRPr="00423C8C">
              <w:rPr>
                <w:highlight w:val="yellow"/>
              </w:rPr>
              <w:t xml:space="preserve"> установк</w:t>
            </w:r>
            <w:r>
              <w:rPr>
                <w:highlight w:val="yellow"/>
              </w:rPr>
              <w:t>а.</w:t>
            </w:r>
          </w:p>
        </w:tc>
      </w:tr>
      <w:tr w:rsidR="00423C8C" w:rsidRPr="00EA6615" w14:paraId="4965200C" w14:textId="77777777" w:rsidTr="00404CD3">
        <w:trPr>
          <w:trHeight w:val="5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E7B8C" w14:textId="77777777" w:rsidR="00423C8C" w:rsidRDefault="00423C8C" w:rsidP="002C7855">
            <w:pPr>
              <w:widowControl w:val="0"/>
              <w:spacing w:after="120"/>
              <w:jc w:val="center"/>
              <w:rPr>
                <w:b/>
                <w:bCs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68B7E" w14:textId="61A083FD" w:rsidR="00423C8C" w:rsidRDefault="00423C8C" w:rsidP="002C7855">
            <w:pPr>
              <w:widowControl w:val="0"/>
              <w:tabs>
                <w:tab w:val="num" w:pos="0"/>
                <w:tab w:val="left" w:pos="1200"/>
              </w:tabs>
              <w:spacing w:after="120"/>
              <w:jc w:val="both"/>
              <w:rPr>
                <w:b/>
              </w:rPr>
            </w:pPr>
            <w:r>
              <w:rPr>
                <w:b/>
              </w:rPr>
              <w:t>Добавить сокращение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947FA" w14:textId="77777777" w:rsidR="00423C8C" w:rsidRDefault="00423C8C" w:rsidP="002C7855">
            <w:pPr>
              <w:widowControl w:val="0"/>
              <w:tabs>
                <w:tab w:val="num" w:pos="0"/>
                <w:tab w:val="left" w:pos="1200"/>
              </w:tabs>
              <w:spacing w:after="120"/>
              <w:jc w:val="both"/>
              <w:rPr>
                <w:b/>
                <w:highlight w:val="yellow"/>
              </w:rPr>
            </w:pPr>
            <w:proofErr w:type="spellStart"/>
            <w:r>
              <w:rPr>
                <w:b/>
                <w:highlight w:val="yellow"/>
              </w:rPr>
              <w:t>БРОУ</w:t>
            </w:r>
            <w:proofErr w:type="spellEnd"/>
          </w:p>
          <w:p w14:paraId="3A722E40" w14:textId="3863ABB5" w:rsidR="00423C8C" w:rsidRDefault="00423C8C" w:rsidP="002C7855">
            <w:pPr>
              <w:widowControl w:val="0"/>
              <w:tabs>
                <w:tab w:val="num" w:pos="0"/>
                <w:tab w:val="left" w:pos="1200"/>
              </w:tabs>
              <w:spacing w:after="120"/>
              <w:jc w:val="both"/>
              <w:rPr>
                <w:b/>
                <w:highlight w:val="yellow"/>
              </w:rPr>
            </w:pPr>
            <w:r w:rsidRPr="00423C8C">
              <w:rPr>
                <w:highlight w:val="yellow"/>
              </w:rPr>
              <w:t>быстродействующая редукционно-охладительная установка.</w:t>
            </w:r>
          </w:p>
        </w:tc>
      </w:tr>
    </w:tbl>
    <w:p w14:paraId="2A9A75F1" w14:textId="05902B9F" w:rsidR="002645BF" w:rsidRDefault="002645BF" w:rsidP="00365D31">
      <w:pPr>
        <w:tabs>
          <w:tab w:val="left" w:pos="709"/>
        </w:tabs>
        <w:jc w:val="both"/>
      </w:pPr>
    </w:p>
    <w:sectPr w:rsidR="002645BF" w:rsidSect="00404CD3">
      <w:pgSz w:w="16838" w:h="11906" w:orient="landscape"/>
      <w:pgMar w:top="1134" w:right="851" w:bottom="85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45530"/>
    <w:multiLevelType w:val="hybridMultilevel"/>
    <w:tmpl w:val="8AAA0E62"/>
    <w:lvl w:ilvl="0" w:tplc="5E6AA23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6B036AA"/>
    <w:multiLevelType w:val="multilevel"/>
    <w:tmpl w:val="96B89764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4" w:hanging="555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3057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371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4735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539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6413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7072" w:hanging="1800"/>
      </w:pPr>
      <w:rPr>
        <w:rFonts w:hint="default"/>
      </w:rPr>
    </w:lvl>
  </w:abstractNum>
  <w:abstractNum w:abstractNumId="2" w15:restartNumberingAfterBreak="0">
    <w:nsid w:val="0E533454"/>
    <w:multiLevelType w:val="multilevel"/>
    <w:tmpl w:val="845057C6"/>
    <w:lvl w:ilvl="0">
      <w:start w:val="3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9000" w:hanging="1800"/>
      </w:pPr>
      <w:rPr>
        <w:rFonts w:hint="default"/>
      </w:rPr>
    </w:lvl>
  </w:abstractNum>
  <w:abstractNum w:abstractNumId="3" w15:restartNumberingAfterBreak="0">
    <w:nsid w:val="0E7F4B5C"/>
    <w:multiLevelType w:val="multilevel"/>
    <w:tmpl w:val="9D58E8F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F056066"/>
    <w:multiLevelType w:val="hybridMultilevel"/>
    <w:tmpl w:val="C9B26F6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10CE6B0A"/>
    <w:multiLevelType w:val="multilevel"/>
    <w:tmpl w:val="56B6FD92"/>
    <w:lvl w:ilvl="0">
      <w:start w:val="3"/>
      <w:numFmt w:val="decimal"/>
      <w:lvlText w:val="%1.6.2"/>
      <w:lvlJc w:val="left"/>
      <w:pPr>
        <w:ind w:left="360" w:hanging="360"/>
      </w:pPr>
      <w:rPr>
        <w:rFonts w:ascii="Garamond" w:hAnsi="Garamond" w:hint="default"/>
        <w:b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1DD0498"/>
    <w:multiLevelType w:val="multilevel"/>
    <w:tmpl w:val="C6F8B47E"/>
    <w:lvl w:ilvl="0">
      <w:start w:val="2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)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)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)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)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)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)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4D2E1F"/>
    <w:multiLevelType w:val="hybridMultilevel"/>
    <w:tmpl w:val="09C0838E"/>
    <w:lvl w:ilvl="0" w:tplc="9E42C8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8F77CBB"/>
    <w:multiLevelType w:val="multilevel"/>
    <w:tmpl w:val="D81C21EC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D416DD1"/>
    <w:multiLevelType w:val="multilevel"/>
    <w:tmpl w:val="7D4ADBB6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5044C36"/>
    <w:multiLevelType w:val="hybridMultilevel"/>
    <w:tmpl w:val="29BC802E"/>
    <w:lvl w:ilvl="0" w:tplc="AB847392">
      <w:start w:val="1"/>
      <w:numFmt w:val="russianLower"/>
      <w:lvlText w:val="%1)"/>
      <w:lvlJc w:val="left"/>
      <w:pPr>
        <w:ind w:left="13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1" w15:restartNumberingAfterBreak="0">
    <w:nsid w:val="25EE4202"/>
    <w:multiLevelType w:val="hybridMultilevel"/>
    <w:tmpl w:val="29BC802E"/>
    <w:lvl w:ilvl="0" w:tplc="AB847392">
      <w:start w:val="1"/>
      <w:numFmt w:val="russianLower"/>
      <w:lvlText w:val="%1)"/>
      <w:lvlJc w:val="left"/>
      <w:pPr>
        <w:ind w:left="13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2" w15:restartNumberingAfterBreak="0">
    <w:nsid w:val="27A50FB2"/>
    <w:multiLevelType w:val="multilevel"/>
    <w:tmpl w:val="56B6FD92"/>
    <w:lvl w:ilvl="0">
      <w:start w:val="3"/>
      <w:numFmt w:val="decimal"/>
      <w:lvlText w:val="%1.6.2"/>
      <w:lvlJc w:val="left"/>
      <w:pPr>
        <w:ind w:left="360" w:hanging="360"/>
      </w:pPr>
      <w:rPr>
        <w:rFonts w:ascii="Garamond" w:hAnsi="Garamond" w:hint="default"/>
        <w:b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A262B49"/>
    <w:multiLevelType w:val="multilevel"/>
    <w:tmpl w:val="7F9CE8D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3B27EC9"/>
    <w:multiLevelType w:val="hybridMultilevel"/>
    <w:tmpl w:val="B08EB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6D065C"/>
    <w:multiLevelType w:val="hybridMultilevel"/>
    <w:tmpl w:val="B08EB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626D01"/>
    <w:multiLevelType w:val="hybridMultilevel"/>
    <w:tmpl w:val="3BF6CD8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7" w15:restartNumberingAfterBreak="0">
    <w:nsid w:val="3B6841BA"/>
    <w:multiLevelType w:val="multilevel"/>
    <w:tmpl w:val="56B6FD92"/>
    <w:lvl w:ilvl="0">
      <w:start w:val="3"/>
      <w:numFmt w:val="decimal"/>
      <w:lvlText w:val="%1.6.2"/>
      <w:lvlJc w:val="left"/>
      <w:pPr>
        <w:ind w:left="360" w:hanging="360"/>
      </w:pPr>
      <w:rPr>
        <w:rFonts w:ascii="Garamond" w:hAnsi="Garamond" w:hint="default"/>
        <w:b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8AD6B67"/>
    <w:multiLevelType w:val="multilevel"/>
    <w:tmpl w:val="F55442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574" w:hanging="432"/>
      </w:pPr>
      <w:rPr>
        <w:rFonts w:cs="Times New Roman" w:hint="default"/>
        <w:sz w:val="22"/>
        <w:szCs w:val="22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9" w15:restartNumberingAfterBreak="0">
    <w:nsid w:val="48DD0D68"/>
    <w:multiLevelType w:val="hybridMultilevel"/>
    <w:tmpl w:val="31445562"/>
    <w:lvl w:ilvl="0" w:tplc="475E3630">
      <w:start w:val="39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cs="Times New Roman" w:hint="default"/>
      </w:rPr>
    </w:lvl>
    <w:lvl w:ilvl="1" w:tplc="1B3653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D0805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E4464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FA488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228F7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0A07A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3CACF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EAAEE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CE07304"/>
    <w:multiLevelType w:val="multilevel"/>
    <w:tmpl w:val="1F5C8868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0"/>
        </w:tabs>
        <w:ind w:left="19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28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73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9480" w:hanging="2160"/>
      </w:pPr>
      <w:rPr>
        <w:rFonts w:hint="default"/>
      </w:rPr>
    </w:lvl>
  </w:abstractNum>
  <w:abstractNum w:abstractNumId="21" w15:restartNumberingAfterBreak="0">
    <w:nsid w:val="4DD9349E"/>
    <w:multiLevelType w:val="hybridMultilevel"/>
    <w:tmpl w:val="A762D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0C55C0"/>
    <w:multiLevelType w:val="multilevel"/>
    <w:tmpl w:val="56B6FD92"/>
    <w:lvl w:ilvl="0">
      <w:start w:val="3"/>
      <w:numFmt w:val="decimal"/>
      <w:lvlText w:val="%1.6.2"/>
      <w:lvlJc w:val="left"/>
      <w:pPr>
        <w:ind w:left="360" w:hanging="360"/>
      </w:pPr>
      <w:rPr>
        <w:rFonts w:ascii="Garamond" w:hAnsi="Garamond" w:hint="default"/>
        <w:b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1C81E3D"/>
    <w:multiLevelType w:val="multilevel"/>
    <w:tmpl w:val="3834B6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cs="Times New Roman"/>
        <w:sz w:val="22"/>
        <w:szCs w:val="22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532D2E67"/>
    <w:multiLevelType w:val="hybridMultilevel"/>
    <w:tmpl w:val="29BC802E"/>
    <w:lvl w:ilvl="0" w:tplc="AB847392">
      <w:start w:val="1"/>
      <w:numFmt w:val="russianLower"/>
      <w:lvlText w:val="%1)"/>
      <w:lvlJc w:val="left"/>
      <w:pPr>
        <w:ind w:left="13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5" w15:restartNumberingAfterBreak="0">
    <w:nsid w:val="53AA7B1E"/>
    <w:multiLevelType w:val="multilevel"/>
    <w:tmpl w:val="08AAD0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9000" w:hanging="1800"/>
      </w:pPr>
      <w:rPr>
        <w:rFonts w:hint="default"/>
      </w:rPr>
    </w:lvl>
  </w:abstractNum>
  <w:abstractNum w:abstractNumId="26" w15:restartNumberingAfterBreak="0">
    <w:nsid w:val="57577365"/>
    <w:multiLevelType w:val="hybridMultilevel"/>
    <w:tmpl w:val="D4FEBE54"/>
    <w:lvl w:ilvl="0" w:tplc="D03C4C5A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7" w15:restartNumberingAfterBreak="0">
    <w:nsid w:val="63A57D05"/>
    <w:multiLevelType w:val="hybridMultilevel"/>
    <w:tmpl w:val="31445562"/>
    <w:lvl w:ilvl="0" w:tplc="475E3630">
      <w:start w:val="39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cs="Times New Roman" w:hint="default"/>
      </w:rPr>
    </w:lvl>
    <w:lvl w:ilvl="1" w:tplc="1B3653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D0805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E4464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FA488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228F7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0A07A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3CACF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EAAEE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5D61829"/>
    <w:multiLevelType w:val="multilevel"/>
    <w:tmpl w:val="56B6FD92"/>
    <w:lvl w:ilvl="0">
      <w:start w:val="3"/>
      <w:numFmt w:val="decimal"/>
      <w:lvlText w:val="%1.6.2"/>
      <w:lvlJc w:val="left"/>
      <w:pPr>
        <w:ind w:left="360" w:hanging="360"/>
      </w:pPr>
      <w:rPr>
        <w:rFonts w:ascii="Garamond" w:hAnsi="Garamond" w:hint="default"/>
        <w:b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6895647"/>
    <w:multiLevelType w:val="multilevel"/>
    <w:tmpl w:val="89B20498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05" w:hanging="72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22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)%4."/>
      <w:lvlJc w:val="left"/>
      <w:pPr>
        <w:ind w:left="3435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5365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7295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8080" w:hanging="1800"/>
      </w:pPr>
      <w:rPr>
        <w:rFonts w:hint="default"/>
      </w:rPr>
    </w:lvl>
  </w:abstractNum>
  <w:abstractNum w:abstractNumId="30" w15:restartNumberingAfterBreak="0">
    <w:nsid w:val="670F0902"/>
    <w:multiLevelType w:val="multilevel"/>
    <w:tmpl w:val="56B6FD92"/>
    <w:lvl w:ilvl="0">
      <w:start w:val="3"/>
      <w:numFmt w:val="decimal"/>
      <w:lvlText w:val="%1.6.2"/>
      <w:lvlJc w:val="left"/>
      <w:pPr>
        <w:ind w:left="360" w:hanging="360"/>
      </w:pPr>
      <w:rPr>
        <w:rFonts w:ascii="Garamond" w:hAnsi="Garamond" w:hint="default"/>
        <w:b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9233899"/>
    <w:multiLevelType w:val="hybridMultilevel"/>
    <w:tmpl w:val="F9AE1CE8"/>
    <w:lvl w:ilvl="0" w:tplc="0419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714A7890"/>
    <w:multiLevelType w:val="hybridMultilevel"/>
    <w:tmpl w:val="1A50ADEC"/>
    <w:lvl w:ilvl="0" w:tplc="943C63B0">
      <w:start w:val="1"/>
      <w:numFmt w:val="bullet"/>
      <w:lvlText w:val=""/>
      <w:lvlJc w:val="left"/>
      <w:pPr>
        <w:tabs>
          <w:tab w:val="num" w:pos="397"/>
        </w:tabs>
        <w:ind w:left="397" w:hanging="284"/>
      </w:pPr>
      <w:rPr>
        <w:rFonts w:ascii="Symbol" w:hAnsi="Symbol"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4036677"/>
    <w:multiLevelType w:val="multilevel"/>
    <w:tmpl w:val="5002C4F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79" w:hanging="72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203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3057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371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4735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539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6413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7072" w:hanging="1800"/>
      </w:pPr>
      <w:rPr>
        <w:rFonts w:hint="default"/>
      </w:rPr>
    </w:lvl>
  </w:abstractNum>
  <w:num w:numId="1">
    <w:abstractNumId w:val="23"/>
  </w:num>
  <w:num w:numId="2">
    <w:abstractNumId w:val="3"/>
  </w:num>
  <w:num w:numId="3">
    <w:abstractNumId w:val="33"/>
  </w:num>
  <w:num w:numId="4">
    <w:abstractNumId w:val="25"/>
  </w:num>
  <w:num w:numId="5">
    <w:abstractNumId w:val="29"/>
  </w:num>
  <w:num w:numId="6">
    <w:abstractNumId w:val="1"/>
  </w:num>
  <w:num w:numId="7">
    <w:abstractNumId w:val="2"/>
  </w:num>
  <w:num w:numId="8">
    <w:abstractNumId w:val="6"/>
  </w:num>
  <w:num w:numId="9">
    <w:abstractNumId w:val="8"/>
  </w:num>
  <w:num w:numId="10">
    <w:abstractNumId w:val="0"/>
  </w:num>
  <w:num w:numId="11">
    <w:abstractNumId w:val="18"/>
  </w:num>
  <w:num w:numId="12">
    <w:abstractNumId w:val="13"/>
  </w:num>
  <w:num w:numId="13">
    <w:abstractNumId w:val="9"/>
  </w:num>
  <w:num w:numId="14">
    <w:abstractNumId w:val="31"/>
  </w:num>
  <w:num w:numId="15">
    <w:abstractNumId w:val="20"/>
  </w:num>
  <w:num w:numId="16">
    <w:abstractNumId w:val="30"/>
  </w:num>
  <w:num w:numId="17">
    <w:abstractNumId w:val="5"/>
  </w:num>
  <w:num w:numId="18">
    <w:abstractNumId w:val="17"/>
  </w:num>
  <w:num w:numId="19">
    <w:abstractNumId w:val="12"/>
  </w:num>
  <w:num w:numId="20">
    <w:abstractNumId w:val="22"/>
  </w:num>
  <w:num w:numId="21">
    <w:abstractNumId w:val="28"/>
  </w:num>
  <w:num w:numId="22">
    <w:abstractNumId w:val="14"/>
  </w:num>
  <w:num w:numId="23">
    <w:abstractNumId w:val="15"/>
  </w:num>
  <w:num w:numId="24">
    <w:abstractNumId w:val="4"/>
  </w:num>
  <w:num w:numId="25">
    <w:abstractNumId w:val="19"/>
  </w:num>
  <w:num w:numId="26">
    <w:abstractNumId w:val="27"/>
  </w:num>
  <w:num w:numId="27">
    <w:abstractNumId w:val="16"/>
  </w:num>
  <w:num w:numId="28">
    <w:abstractNumId w:val="26"/>
  </w:num>
  <w:num w:numId="29">
    <w:abstractNumId w:val="21"/>
  </w:num>
  <w:num w:numId="30">
    <w:abstractNumId w:val="7"/>
  </w:num>
  <w:num w:numId="31">
    <w:abstractNumId w:val="10"/>
  </w:num>
  <w:num w:numId="32">
    <w:abstractNumId w:val="11"/>
  </w:num>
  <w:num w:numId="33">
    <w:abstractNumId w:val="24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E2F"/>
    <w:rsid w:val="00004457"/>
    <w:rsid w:val="00011BB9"/>
    <w:rsid w:val="00012818"/>
    <w:rsid w:val="000166C8"/>
    <w:rsid w:val="00030D39"/>
    <w:rsid w:val="00035B2F"/>
    <w:rsid w:val="000424F8"/>
    <w:rsid w:val="00046C70"/>
    <w:rsid w:val="00055F62"/>
    <w:rsid w:val="00057721"/>
    <w:rsid w:val="000577FD"/>
    <w:rsid w:val="00066033"/>
    <w:rsid w:val="0007077D"/>
    <w:rsid w:val="00074F24"/>
    <w:rsid w:val="000B137E"/>
    <w:rsid w:val="000C1B32"/>
    <w:rsid w:val="000C7C8E"/>
    <w:rsid w:val="000D1D12"/>
    <w:rsid w:val="000D47A1"/>
    <w:rsid w:val="000D72BE"/>
    <w:rsid w:val="000E21F9"/>
    <w:rsid w:val="000E7A7E"/>
    <w:rsid w:val="001005FC"/>
    <w:rsid w:val="0011176D"/>
    <w:rsid w:val="001235CC"/>
    <w:rsid w:val="00124B56"/>
    <w:rsid w:val="001371F2"/>
    <w:rsid w:val="00137BF4"/>
    <w:rsid w:val="00141E09"/>
    <w:rsid w:val="00147D86"/>
    <w:rsid w:val="00150D81"/>
    <w:rsid w:val="001557D3"/>
    <w:rsid w:val="00161079"/>
    <w:rsid w:val="00163A70"/>
    <w:rsid w:val="00163AA8"/>
    <w:rsid w:val="00172F6C"/>
    <w:rsid w:val="00182638"/>
    <w:rsid w:val="00182AEB"/>
    <w:rsid w:val="00183388"/>
    <w:rsid w:val="001A5059"/>
    <w:rsid w:val="001B7555"/>
    <w:rsid w:val="001D0645"/>
    <w:rsid w:val="001F024B"/>
    <w:rsid w:val="00204492"/>
    <w:rsid w:val="002577E6"/>
    <w:rsid w:val="002645BF"/>
    <w:rsid w:val="0026540A"/>
    <w:rsid w:val="00265E3C"/>
    <w:rsid w:val="002930B5"/>
    <w:rsid w:val="002A0A84"/>
    <w:rsid w:val="002C400B"/>
    <w:rsid w:val="002E323E"/>
    <w:rsid w:val="002E449A"/>
    <w:rsid w:val="002E4947"/>
    <w:rsid w:val="002E4FCB"/>
    <w:rsid w:val="003010CD"/>
    <w:rsid w:val="00301645"/>
    <w:rsid w:val="0032161C"/>
    <w:rsid w:val="003268E5"/>
    <w:rsid w:val="003423DF"/>
    <w:rsid w:val="00351391"/>
    <w:rsid w:val="00352785"/>
    <w:rsid w:val="003621E3"/>
    <w:rsid w:val="00362EDE"/>
    <w:rsid w:val="00365D31"/>
    <w:rsid w:val="003701AB"/>
    <w:rsid w:val="0038061B"/>
    <w:rsid w:val="00383413"/>
    <w:rsid w:val="0039084F"/>
    <w:rsid w:val="003A07BA"/>
    <w:rsid w:val="003A6335"/>
    <w:rsid w:val="003B4FFB"/>
    <w:rsid w:val="003B6628"/>
    <w:rsid w:val="003C510F"/>
    <w:rsid w:val="003E5D0E"/>
    <w:rsid w:val="003F0DBE"/>
    <w:rsid w:val="00404CD3"/>
    <w:rsid w:val="00414E37"/>
    <w:rsid w:val="004160E5"/>
    <w:rsid w:val="00416FC3"/>
    <w:rsid w:val="00423C8C"/>
    <w:rsid w:val="0042571D"/>
    <w:rsid w:val="00436A41"/>
    <w:rsid w:val="00445507"/>
    <w:rsid w:val="004478F9"/>
    <w:rsid w:val="00456721"/>
    <w:rsid w:val="00462D9D"/>
    <w:rsid w:val="00464AC6"/>
    <w:rsid w:val="004726FA"/>
    <w:rsid w:val="004751D8"/>
    <w:rsid w:val="0048020C"/>
    <w:rsid w:val="00483BE5"/>
    <w:rsid w:val="00495C51"/>
    <w:rsid w:val="004A330F"/>
    <w:rsid w:val="004B3FB1"/>
    <w:rsid w:val="004D3A8B"/>
    <w:rsid w:val="004D72CE"/>
    <w:rsid w:val="004F0C61"/>
    <w:rsid w:val="004F4BB6"/>
    <w:rsid w:val="004F6CF2"/>
    <w:rsid w:val="004F78AB"/>
    <w:rsid w:val="005107B9"/>
    <w:rsid w:val="00513F48"/>
    <w:rsid w:val="005300C2"/>
    <w:rsid w:val="0053233C"/>
    <w:rsid w:val="00542B30"/>
    <w:rsid w:val="0054595A"/>
    <w:rsid w:val="00583F7B"/>
    <w:rsid w:val="0058558B"/>
    <w:rsid w:val="005A4BCE"/>
    <w:rsid w:val="005A73E3"/>
    <w:rsid w:val="005A7A76"/>
    <w:rsid w:val="005C3CE4"/>
    <w:rsid w:val="005C61E8"/>
    <w:rsid w:val="005C76BE"/>
    <w:rsid w:val="005D762A"/>
    <w:rsid w:val="005E23BE"/>
    <w:rsid w:val="005E3FAA"/>
    <w:rsid w:val="005E40AC"/>
    <w:rsid w:val="005F3D7A"/>
    <w:rsid w:val="005F673B"/>
    <w:rsid w:val="00626252"/>
    <w:rsid w:val="00632F85"/>
    <w:rsid w:val="00635522"/>
    <w:rsid w:val="00637B6C"/>
    <w:rsid w:val="00644270"/>
    <w:rsid w:val="006444C4"/>
    <w:rsid w:val="00645C9B"/>
    <w:rsid w:val="00652523"/>
    <w:rsid w:val="006549EB"/>
    <w:rsid w:val="00656A4B"/>
    <w:rsid w:val="00667BD8"/>
    <w:rsid w:val="00667F97"/>
    <w:rsid w:val="006A161D"/>
    <w:rsid w:val="006A3A22"/>
    <w:rsid w:val="006A5448"/>
    <w:rsid w:val="006B0D23"/>
    <w:rsid w:val="006B269F"/>
    <w:rsid w:val="006B5613"/>
    <w:rsid w:val="006E0B02"/>
    <w:rsid w:val="006E40DD"/>
    <w:rsid w:val="006E4DAD"/>
    <w:rsid w:val="006F077D"/>
    <w:rsid w:val="006F31AC"/>
    <w:rsid w:val="00700D79"/>
    <w:rsid w:val="00713A5A"/>
    <w:rsid w:val="00727A09"/>
    <w:rsid w:val="00746D9D"/>
    <w:rsid w:val="0075548F"/>
    <w:rsid w:val="00756311"/>
    <w:rsid w:val="00765E4E"/>
    <w:rsid w:val="00770096"/>
    <w:rsid w:val="00780566"/>
    <w:rsid w:val="00787AD9"/>
    <w:rsid w:val="007A0021"/>
    <w:rsid w:val="007A0090"/>
    <w:rsid w:val="007A64D8"/>
    <w:rsid w:val="007A7784"/>
    <w:rsid w:val="007B64EF"/>
    <w:rsid w:val="007C46C9"/>
    <w:rsid w:val="007F510F"/>
    <w:rsid w:val="00811387"/>
    <w:rsid w:val="0081306D"/>
    <w:rsid w:val="00815D71"/>
    <w:rsid w:val="008172DD"/>
    <w:rsid w:val="00821456"/>
    <w:rsid w:val="00835377"/>
    <w:rsid w:val="0084206A"/>
    <w:rsid w:val="008425BB"/>
    <w:rsid w:val="00842B83"/>
    <w:rsid w:val="00844A0B"/>
    <w:rsid w:val="00844F8D"/>
    <w:rsid w:val="0085063B"/>
    <w:rsid w:val="00880C60"/>
    <w:rsid w:val="00892CD8"/>
    <w:rsid w:val="008B2A02"/>
    <w:rsid w:val="008B5C58"/>
    <w:rsid w:val="008E4019"/>
    <w:rsid w:val="008F77F0"/>
    <w:rsid w:val="00902483"/>
    <w:rsid w:val="00906E2F"/>
    <w:rsid w:val="00915EF3"/>
    <w:rsid w:val="00922FA1"/>
    <w:rsid w:val="00927AA5"/>
    <w:rsid w:val="009331CF"/>
    <w:rsid w:val="0094792E"/>
    <w:rsid w:val="00955C34"/>
    <w:rsid w:val="00957683"/>
    <w:rsid w:val="009735FF"/>
    <w:rsid w:val="00981494"/>
    <w:rsid w:val="00982352"/>
    <w:rsid w:val="00986262"/>
    <w:rsid w:val="00990E18"/>
    <w:rsid w:val="009922C2"/>
    <w:rsid w:val="009A0387"/>
    <w:rsid w:val="009A531A"/>
    <w:rsid w:val="009A5AEB"/>
    <w:rsid w:val="009B0A63"/>
    <w:rsid w:val="009B6D66"/>
    <w:rsid w:val="009C1E7C"/>
    <w:rsid w:val="009C7A51"/>
    <w:rsid w:val="009D3ADB"/>
    <w:rsid w:val="009D46BF"/>
    <w:rsid w:val="009D5636"/>
    <w:rsid w:val="009D778F"/>
    <w:rsid w:val="009E4024"/>
    <w:rsid w:val="00A0052C"/>
    <w:rsid w:val="00A00FAE"/>
    <w:rsid w:val="00A0545A"/>
    <w:rsid w:val="00A12A6F"/>
    <w:rsid w:val="00A16D7F"/>
    <w:rsid w:val="00A21E60"/>
    <w:rsid w:val="00A43937"/>
    <w:rsid w:val="00A71A8E"/>
    <w:rsid w:val="00A82527"/>
    <w:rsid w:val="00A94982"/>
    <w:rsid w:val="00AA1D68"/>
    <w:rsid w:val="00AA62FE"/>
    <w:rsid w:val="00AD760A"/>
    <w:rsid w:val="00AD7FD5"/>
    <w:rsid w:val="00AE2D24"/>
    <w:rsid w:val="00AF14E7"/>
    <w:rsid w:val="00B01985"/>
    <w:rsid w:val="00B052B5"/>
    <w:rsid w:val="00B07280"/>
    <w:rsid w:val="00B13982"/>
    <w:rsid w:val="00B1716C"/>
    <w:rsid w:val="00B206E3"/>
    <w:rsid w:val="00B217AD"/>
    <w:rsid w:val="00B25F13"/>
    <w:rsid w:val="00B35624"/>
    <w:rsid w:val="00B3629C"/>
    <w:rsid w:val="00B444D1"/>
    <w:rsid w:val="00B552D1"/>
    <w:rsid w:val="00B579F3"/>
    <w:rsid w:val="00B62D3F"/>
    <w:rsid w:val="00B65173"/>
    <w:rsid w:val="00B7475A"/>
    <w:rsid w:val="00B8366E"/>
    <w:rsid w:val="00BA3B3B"/>
    <w:rsid w:val="00BB0BB2"/>
    <w:rsid w:val="00BC6827"/>
    <w:rsid w:val="00BD63B6"/>
    <w:rsid w:val="00BE0B5A"/>
    <w:rsid w:val="00BE4789"/>
    <w:rsid w:val="00BE7A91"/>
    <w:rsid w:val="00BF1605"/>
    <w:rsid w:val="00BF47BA"/>
    <w:rsid w:val="00C04B4C"/>
    <w:rsid w:val="00C128A6"/>
    <w:rsid w:val="00C129DB"/>
    <w:rsid w:val="00C220B8"/>
    <w:rsid w:val="00C25C21"/>
    <w:rsid w:val="00C27A2B"/>
    <w:rsid w:val="00C351B8"/>
    <w:rsid w:val="00C36518"/>
    <w:rsid w:val="00C514EC"/>
    <w:rsid w:val="00C549F8"/>
    <w:rsid w:val="00C56561"/>
    <w:rsid w:val="00C734C9"/>
    <w:rsid w:val="00C80C8B"/>
    <w:rsid w:val="00C96314"/>
    <w:rsid w:val="00C96D91"/>
    <w:rsid w:val="00CB0C43"/>
    <w:rsid w:val="00CB254D"/>
    <w:rsid w:val="00CC1967"/>
    <w:rsid w:val="00CD186F"/>
    <w:rsid w:val="00CE1EB2"/>
    <w:rsid w:val="00CE4471"/>
    <w:rsid w:val="00D02B96"/>
    <w:rsid w:val="00D119B4"/>
    <w:rsid w:val="00D124C7"/>
    <w:rsid w:val="00D15118"/>
    <w:rsid w:val="00D214A4"/>
    <w:rsid w:val="00D22083"/>
    <w:rsid w:val="00D25E24"/>
    <w:rsid w:val="00D527FB"/>
    <w:rsid w:val="00D556AE"/>
    <w:rsid w:val="00D62E0C"/>
    <w:rsid w:val="00D66AA2"/>
    <w:rsid w:val="00D75E02"/>
    <w:rsid w:val="00D774DC"/>
    <w:rsid w:val="00D8457F"/>
    <w:rsid w:val="00D901DE"/>
    <w:rsid w:val="00DA78F1"/>
    <w:rsid w:val="00DB0177"/>
    <w:rsid w:val="00DB6B5B"/>
    <w:rsid w:val="00DF01DF"/>
    <w:rsid w:val="00DF519A"/>
    <w:rsid w:val="00E26C6F"/>
    <w:rsid w:val="00E3045E"/>
    <w:rsid w:val="00E33A36"/>
    <w:rsid w:val="00E45BC5"/>
    <w:rsid w:val="00E866E9"/>
    <w:rsid w:val="00E87996"/>
    <w:rsid w:val="00E93B43"/>
    <w:rsid w:val="00EA2717"/>
    <w:rsid w:val="00EA5AC7"/>
    <w:rsid w:val="00EA74D9"/>
    <w:rsid w:val="00EB3F5B"/>
    <w:rsid w:val="00EC4FAB"/>
    <w:rsid w:val="00EF00EC"/>
    <w:rsid w:val="00EF312D"/>
    <w:rsid w:val="00EF564D"/>
    <w:rsid w:val="00F20B3A"/>
    <w:rsid w:val="00F2283F"/>
    <w:rsid w:val="00F2706F"/>
    <w:rsid w:val="00F613D8"/>
    <w:rsid w:val="00F635B9"/>
    <w:rsid w:val="00F64E3E"/>
    <w:rsid w:val="00F66CEA"/>
    <w:rsid w:val="00F75408"/>
    <w:rsid w:val="00F920DF"/>
    <w:rsid w:val="00F93944"/>
    <w:rsid w:val="00FA0D11"/>
    <w:rsid w:val="00FC45FE"/>
    <w:rsid w:val="00FE38BF"/>
    <w:rsid w:val="00FF2CCD"/>
    <w:rsid w:val="00FF4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1D241"/>
  <w15:docId w15:val="{31823212-A53A-4AD5-A3B7-F1F7D103C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84F"/>
    <w:pPr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styleId="2">
    <w:name w:val="heading 2"/>
    <w:aliases w:val="h2,h21,Заголовок пункта (1.1),5,Reset numbering,222"/>
    <w:basedOn w:val="a"/>
    <w:next w:val="3"/>
    <w:link w:val="20"/>
    <w:qFormat/>
    <w:rsid w:val="00D556AE"/>
    <w:pPr>
      <w:keepNext/>
      <w:numPr>
        <w:ilvl w:val="1"/>
        <w:numId w:val="34"/>
      </w:numPr>
      <w:suppressAutoHyphens w:val="0"/>
      <w:spacing w:before="240" w:after="120" w:line="360" w:lineRule="auto"/>
      <w:jc w:val="center"/>
      <w:outlineLvl w:val="1"/>
    </w:pPr>
    <w:rPr>
      <w:rFonts w:eastAsia="Times New Roman" w:cs="Times New Roman"/>
      <w:b/>
      <w:szCs w:val="20"/>
      <w:lang w:eastAsia="en-US"/>
    </w:rPr>
  </w:style>
  <w:style w:type="paragraph" w:styleId="3">
    <w:name w:val="heading 3"/>
    <w:aliases w:val="H3,Заголовок подпукта (1.1.1),Level 1 - 1,o"/>
    <w:basedOn w:val="a"/>
    <w:next w:val="a0"/>
    <w:link w:val="30"/>
    <w:qFormat/>
    <w:rsid w:val="00906E2F"/>
    <w:pPr>
      <w:jc w:val="both"/>
      <w:outlineLvl w:val="2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A9498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B0198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,Заголовок подпукта (1.1.1) Знак,Level 1 - 1 Знак,o Знак"/>
    <w:basedOn w:val="a1"/>
    <w:link w:val="3"/>
    <w:uiPriority w:val="99"/>
    <w:rsid w:val="00906E2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0">
    <w:name w:val="Body Text"/>
    <w:aliases w:val="body text"/>
    <w:basedOn w:val="a"/>
    <w:link w:val="a4"/>
    <w:uiPriority w:val="99"/>
    <w:rsid w:val="00906E2F"/>
    <w:pPr>
      <w:spacing w:after="120"/>
      <w:jc w:val="both"/>
    </w:pPr>
    <w:rPr>
      <w:rFonts w:ascii="Times New Roman" w:hAnsi="Times New Roman" w:cs="Times New Roman"/>
      <w:szCs w:val="20"/>
    </w:rPr>
  </w:style>
  <w:style w:type="character" w:customStyle="1" w:styleId="a4">
    <w:name w:val="Основной текст Знак"/>
    <w:aliases w:val="body text Знак"/>
    <w:basedOn w:val="a1"/>
    <w:link w:val="a0"/>
    <w:uiPriority w:val="99"/>
    <w:rsid w:val="00906E2F"/>
    <w:rPr>
      <w:rFonts w:ascii="Times New Roman" w:eastAsia="Batang" w:hAnsi="Times New Roman" w:cs="Times New Roman"/>
      <w:szCs w:val="20"/>
      <w:lang w:eastAsia="ar-SA"/>
    </w:rPr>
  </w:style>
  <w:style w:type="paragraph" w:styleId="a5">
    <w:name w:val="List Paragraph"/>
    <w:basedOn w:val="a"/>
    <w:link w:val="a6"/>
    <w:uiPriority w:val="34"/>
    <w:qFormat/>
    <w:rsid w:val="00906E2F"/>
    <w:pPr>
      <w:suppressAutoHyphens w:val="0"/>
      <w:autoSpaceDE w:val="0"/>
      <w:autoSpaceDN w:val="0"/>
      <w:spacing w:before="0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annotation text"/>
    <w:basedOn w:val="a"/>
    <w:link w:val="a8"/>
    <w:uiPriority w:val="99"/>
    <w:unhideWhenUsed/>
    <w:rsid w:val="00C129DB"/>
    <w:pPr>
      <w:suppressAutoHyphens w:val="0"/>
      <w:spacing w:before="0" w:after="200" w:line="276" w:lineRule="auto"/>
    </w:pPr>
    <w:rPr>
      <w:rFonts w:ascii="Calibri" w:eastAsia="Calibri" w:hAnsi="Calibri" w:cs="Times New Roman"/>
      <w:sz w:val="20"/>
      <w:szCs w:val="20"/>
      <w:lang w:val="x-none" w:eastAsia="en-US"/>
    </w:rPr>
  </w:style>
  <w:style w:type="character" w:customStyle="1" w:styleId="a8">
    <w:name w:val="Текст примечания Знак"/>
    <w:basedOn w:val="a1"/>
    <w:link w:val="a7"/>
    <w:uiPriority w:val="99"/>
    <w:rsid w:val="00C129DB"/>
    <w:rPr>
      <w:rFonts w:ascii="Calibri" w:eastAsia="Calibri" w:hAnsi="Calibri" w:cs="Times New Roman"/>
      <w:sz w:val="20"/>
      <w:szCs w:val="20"/>
      <w:lang w:val="x-none"/>
    </w:rPr>
  </w:style>
  <w:style w:type="paragraph" w:styleId="a9">
    <w:name w:val="annotation subject"/>
    <w:basedOn w:val="a7"/>
    <w:next w:val="a7"/>
    <w:link w:val="aa"/>
    <w:uiPriority w:val="99"/>
    <w:unhideWhenUsed/>
    <w:rsid w:val="00C129D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rsid w:val="00C129DB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ab">
    <w:name w:val="Balloon Text"/>
    <w:basedOn w:val="a"/>
    <w:link w:val="ac"/>
    <w:uiPriority w:val="99"/>
    <w:semiHidden/>
    <w:unhideWhenUsed/>
    <w:rsid w:val="00811387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811387"/>
    <w:rPr>
      <w:rFonts w:ascii="Segoe UI" w:eastAsia="Batang" w:hAnsi="Segoe UI" w:cs="Segoe UI"/>
      <w:sz w:val="18"/>
      <w:szCs w:val="18"/>
      <w:lang w:eastAsia="ar-SA"/>
    </w:rPr>
  </w:style>
  <w:style w:type="character" w:customStyle="1" w:styleId="40">
    <w:name w:val="Заголовок 4 Знак"/>
    <w:basedOn w:val="a1"/>
    <w:link w:val="4"/>
    <w:uiPriority w:val="9"/>
    <w:rsid w:val="00A94982"/>
    <w:rPr>
      <w:rFonts w:asciiTheme="majorHAnsi" w:eastAsiaTheme="majorEastAsia" w:hAnsiTheme="majorHAnsi" w:cstheme="majorBidi"/>
      <w:i/>
      <w:iCs/>
      <w:color w:val="2E74B5" w:themeColor="accent1" w:themeShade="BF"/>
      <w:lang w:eastAsia="ar-SA"/>
    </w:rPr>
  </w:style>
  <w:style w:type="character" w:styleId="ad">
    <w:name w:val="Placeholder Text"/>
    <w:basedOn w:val="a1"/>
    <w:uiPriority w:val="99"/>
    <w:semiHidden/>
    <w:rsid w:val="00163A70"/>
    <w:rPr>
      <w:color w:val="808080"/>
    </w:rPr>
  </w:style>
  <w:style w:type="character" w:customStyle="1" w:styleId="50">
    <w:name w:val="Заголовок 5 Знак"/>
    <w:basedOn w:val="a1"/>
    <w:link w:val="5"/>
    <w:uiPriority w:val="9"/>
    <w:rsid w:val="00B01985"/>
    <w:rPr>
      <w:rFonts w:asciiTheme="majorHAnsi" w:eastAsiaTheme="majorEastAsia" w:hAnsiTheme="majorHAnsi" w:cstheme="majorBidi"/>
      <w:color w:val="2E74B5" w:themeColor="accent1" w:themeShade="BF"/>
      <w:lang w:eastAsia="ar-SA"/>
    </w:rPr>
  </w:style>
  <w:style w:type="character" w:customStyle="1" w:styleId="a6">
    <w:name w:val="Абзац списка Знак"/>
    <w:link w:val="a5"/>
    <w:uiPriority w:val="34"/>
    <w:rsid w:val="00D62E0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2"/>
    <w:uiPriority w:val="39"/>
    <w:rsid w:val="00755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1"/>
    <w:uiPriority w:val="99"/>
    <w:semiHidden/>
    <w:unhideWhenUsed/>
    <w:rsid w:val="00150D81"/>
    <w:rPr>
      <w:sz w:val="16"/>
      <w:szCs w:val="16"/>
    </w:rPr>
  </w:style>
  <w:style w:type="paragraph" w:styleId="31">
    <w:name w:val="Body Text 3"/>
    <w:basedOn w:val="a"/>
    <w:link w:val="32"/>
    <w:rsid w:val="002930B5"/>
    <w:pPr>
      <w:suppressAutoHyphens w:val="0"/>
      <w:spacing w:before="0" w:after="120"/>
      <w:jc w:val="both"/>
    </w:pPr>
    <w:rPr>
      <w:rFonts w:eastAsia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930B5"/>
    <w:rPr>
      <w:rFonts w:ascii="Garamond" w:eastAsia="Times New Roman" w:hAnsi="Garamond" w:cs="Times New Roman"/>
      <w:sz w:val="16"/>
      <w:szCs w:val="16"/>
      <w:lang w:eastAsia="ru-RU"/>
    </w:rPr>
  </w:style>
  <w:style w:type="character" w:customStyle="1" w:styleId="20">
    <w:name w:val="Заголовок 2 Знак"/>
    <w:aliases w:val="h2 Знак,h21 Знак,Заголовок пункта (1.1) Знак,5 Знак,Reset numbering Знак,222 Знак"/>
    <w:basedOn w:val="a1"/>
    <w:link w:val="2"/>
    <w:rsid w:val="00D556AE"/>
    <w:rPr>
      <w:rFonts w:ascii="Garamond" w:eastAsia="Times New Roman" w:hAnsi="Garamond" w:cs="Times New Roman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3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3CED2-2FE7-4025-889E-16AEEB3FB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2473</Words>
  <Characters>14102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Пряхина Ирина Игоревна</cp:lastModifiedBy>
  <cp:revision>8</cp:revision>
  <cp:lastPrinted>2020-03-20T06:02:00Z</cp:lastPrinted>
  <dcterms:created xsi:type="dcterms:W3CDTF">2025-02-20T08:46:00Z</dcterms:created>
  <dcterms:modified xsi:type="dcterms:W3CDTF">2025-02-22T00:12:00Z</dcterms:modified>
</cp:coreProperties>
</file>