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D8C10" w14:textId="0AE80BBD" w:rsidR="008208FA" w:rsidRDefault="008208FA" w:rsidP="008208FA">
      <w:pPr>
        <w:widowControl w:val="0"/>
        <w:ind w:left="57"/>
        <w:jc w:val="right"/>
      </w:pPr>
      <w:r>
        <w:rPr>
          <w:caps/>
        </w:rPr>
        <w:t>Приложение</w:t>
      </w:r>
      <w:r>
        <w:t xml:space="preserve"> № 1.12</w:t>
      </w:r>
    </w:p>
    <w:p w14:paraId="39F30746" w14:textId="77777777" w:rsidR="008208FA" w:rsidRDefault="008208FA" w:rsidP="008208FA">
      <w:pPr>
        <w:widowControl w:val="0"/>
        <w:ind w:left="57"/>
        <w:jc w:val="right"/>
      </w:pPr>
      <w:r>
        <w:t xml:space="preserve">к Протоколу № 14/2021 заседания Наблюдательного совета </w:t>
      </w:r>
    </w:p>
    <w:p w14:paraId="73552328" w14:textId="3B6ACA84" w:rsidR="008208FA" w:rsidRPr="008208FA" w:rsidRDefault="008208FA" w:rsidP="008208FA">
      <w:pPr>
        <w:widowControl w:val="0"/>
        <w:jc w:val="right"/>
        <w:rPr>
          <w:rFonts w:ascii="Garamond" w:hAnsi="Garamond"/>
          <w:b/>
          <w:sz w:val="28"/>
          <w:szCs w:val="28"/>
        </w:rPr>
      </w:pPr>
      <w:r>
        <w:t>Ассоциации «НП Совет рынка» от 24 августа 2021 года.</w:t>
      </w:r>
    </w:p>
    <w:p w14:paraId="24329EBC" w14:textId="77777777" w:rsidR="008208FA" w:rsidRPr="008208FA" w:rsidRDefault="008208FA" w:rsidP="00AA1EFE">
      <w:pPr>
        <w:widowControl w:val="0"/>
        <w:rPr>
          <w:rFonts w:ascii="Garamond" w:hAnsi="Garamond"/>
          <w:b/>
          <w:sz w:val="28"/>
          <w:szCs w:val="28"/>
        </w:rPr>
      </w:pPr>
    </w:p>
    <w:p w14:paraId="182663EB" w14:textId="45E03CC9" w:rsidR="00AA1EFE" w:rsidRPr="002B5432" w:rsidRDefault="004F0665" w:rsidP="00AA1EFE">
      <w:pPr>
        <w:widowControl w:val="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VIII</w:t>
      </w:r>
      <w:r w:rsidRPr="004F0665">
        <w:rPr>
          <w:rFonts w:ascii="Garamond" w:hAnsi="Garamond"/>
          <w:b/>
          <w:sz w:val="28"/>
          <w:szCs w:val="28"/>
        </w:rPr>
        <w:t>.</w:t>
      </w:r>
      <w:r w:rsidR="00DB5C21">
        <w:rPr>
          <w:rFonts w:ascii="Garamond" w:hAnsi="Garamond"/>
          <w:b/>
          <w:sz w:val="28"/>
          <w:szCs w:val="28"/>
        </w:rPr>
        <w:t>3</w:t>
      </w:r>
      <w:r w:rsidRPr="004F0665">
        <w:rPr>
          <w:rFonts w:ascii="Garamond" w:hAnsi="Garamond"/>
          <w:b/>
          <w:sz w:val="28"/>
          <w:szCs w:val="28"/>
        </w:rPr>
        <w:t xml:space="preserve">. </w:t>
      </w:r>
      <w:r w:rsidR="00AA1EFE" w:rsidRPr="00A82A7B">
        <w:rPr>
          <w:rFonts w:ascii="Garamond" w:hAnsi="Garamond"/>
          <w:b/>
          <w:sz w:val="28"/>
          <w:szCs w:val="28"/>
        </w:rPr>
        <w:t>Изменения, связанные с</w:t>
      </w:r>
      <w:r w:rsidR="00AA1EFE">
        <w:rPr>
          <w:rFonts w:ascii="Garamond" w:hAnsi="Garamond"/>
          <w:b/>
          <w:sz w:val="28"/>
          <w:szCs w:val="28"/>
        </w:rPr>
        <w:t xml:space="preserve"> </w:t>
      </w:r>
      <w:r w:rsidR="000C6E77">
        <w:rPr>
          <w:rFonts w:ascii="Garamond" w:hAnsi="Garamond" w:cs="Arial"/>
          <w:b/>
          <w:sz w:val="28"/>
          <w:szCs w:val="28"/>
        </w:rPr>
        <w:t xml:space="preserve">определением объемов отклонений </w:t>
      </w:r>
      <w:r w:rsidR="000C6E77" w:rsidRPr="000C6E77">
        <w:rPr>
          <w:rFonts w:ascii="Garamond" w:hAnsi="Garamond" w:cs="Arial"/>
          <w:b/>
          <w:sz w:val="28"/>
          <w:szCs w:val="28"/>
        </w:rPr>
        <w:t>в отдельны</w:t>
      </w:r>
      <w:r w:rsidR="000C6E77">
        <w:rPr>
          <w:rFonts w:ascii="Garamond" w:hAnsi="Garamond" w:cs="Arial"/>
          <w:b/>
          <w:sz w:val="28"/>
          <w:szCs w:val="28"/>
        </w:rPr>
        <w:t>х</w:t>
      </w:r>
      <w:r w:rsidR="000C6E77" w:rsidRPr="000C6E77">
        <w:rPr>
          <w:rFonts w:ascii="Garamond" w:hAnsi="Garamond" w:cs="Arial"/>
          <w:b/>
          <w:sz w:val="28"/>
          <w:szCs w:val="28"/>
        </w:rPr>
        <w:t xml:space="preserve"> </w:t>
      </w:r>
      <w:proofErr w:type="spellStart"/>
      <w:r w:rsidR="000C6E77" w:rsidRPr="000C6E77">
        <w:rPr>
          <w:rFonts w:ascii="Garamond" w:hAnsi="Garamond" w:cs="Arial"/>
          <w:b/>
          <w:sz w:val="28"/>
          <w:szCs w:val="28"/>
        </w:rPr>
        <w:t>энергорайон</w:t>
      </w:r>
      <w:r w:rsidR="000C6E77">
        <w:rPr>
          <w:rFonts w:ascii="Garamond" w:hAnsi="Garamond" w:cs="Arial"/>
          <w:b/>
          <w:sz w:val="28"/>
          <w:szCs w:val="28"/>
        </w:rPr>
        <w:t>ах</w:t>
      </w:r>
      <w:proofErr w:type="spellEnd"/>
      <w:r w:rsidR="000C6E77" w:rsidRPr="000C6E77">
        <w:rPr>
          <w:rFonts w:ascii="Garamond" w:hAnsi="Garamond" w:cs="Arial"/>
          <w:b/>
          <w:sz w:val="28"/>
          <w:szCs w:val="28"/>
        </w:rPr>
        <w:t xml:space="preserve"> на территории </w:t>
      </w:r>
      <w:r w:rsidR="000C6E77">
        <w:rPr>
          <w:rFonts w:ascii="Garamond" w:hAnsi="Garamond" w:cs="Arial"/>
          <w:b/>
          <w:sz w:val="28"/>
          <w:szCs w:val="28"/>
        </w:rPr>
        <w:t>К</w:t>
      </w:r>
      <w:r w:rsidR="000C6E77" w:rsidRPr="000C6E77">
        <w:rPr>
          <w:rFonts w:ascii="Garamond" w:hAnsi="Garamond" w:cs="Arial"/>
          <w:b/>
          <w:sz w:val="28"/>
          <w:szCs w:val="28"/>
        </w:rPr>
        <w:t xml:space="preserve">урганской области и </w:t>
      </w:r>
      <w:r w:rsidR="000C6E77">
        <w:rPr>
          <w:rFonts w:ascii="Garamond" w:hAnsi="Garamond" w:cs="Arial"/>
          <w:b/>
          <w:sz w:val="28"/>
          <w:szCs w:val="28"/>
        </w:rPr>
        <w:t>О</w:t>
      </w:r>
      <w:r w:rsidR="000C6E77" w:rsidRPr="000C6E77">
        <w:rPr>
          <w:rFonts w:ascii="Garamond" w:hAnsi="Garamond" w:cs="Arial"/>
          <w:b/>
          <w:sz w:val="28"/>
          <w:szCs w:val="28"/>
        </w:rPr>
        <w:t>мской области</w:t>
      </w:r>
    </w:p>
    <w:p w14:paraId="13D3EF30" w14:textId="77777777" w:rsidR="00AA1EFE" w:rsidRPr="008A6EA6" w:rsidRDefault="00AA1EFE" w:rsidP="00AA1EFE">
      <w:pPr>
        <w:widowControl w:val="0"/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 xml:space="preserve"> </w:t>
      </w:r>
    </w:p>
    <w:p w14:paraId="448BBC7C" w14:textId="391B9CA4" w:rsidR="00AA1EFE" w:rsidRPr="00DB5C21" w:rsidRDefault="00AA1EFE" w:rsidP="00AA1EFE">
      <w:pPr>
        <w:widowControl w:val="0"/>
        <w:jc w:val="right"/>
        <w:rPr>
          <w:rFonts w:ascii="Garamond" w:hAnsi="Garamond"/>
          <w:b/>
          <w:sz w:val="28"/>
          <w:szCs w:val="28"/>
        </w:rPr>
      </w:pPr>
      <w:r w:rsidRPr="00A82A7B">
        <w:rPr>
          <w:rFonts w:ascii="Garamond" w:hAnsi="Garamond"/>
          <w:b/>
          <w:sz w:val="28"/>
          <w:szCs w:val="28"/>
        </w:rPr>
        <w:t>Приложение №</w:t>
      </w:r>
      <w:r w:rsidR="004F0665">
        <w:rPr>
          <w:rFonts w:ascii="Garamond" w:hAnsi="Garamond"/>
          <w:b/>
          <w:sz w:val="28"/>
          <w:szCs w:val="28"/>
          <w:lang w:val="en-US"/>
        </w:rPr>
        <w:t xml:space="preserve"> </w:t>
      </w:r>
      <w:r w:rsidR="008208FA">
        <w:rPr>
          <w:rFonts w:ascii="Garamond" w:hAnsi="Garamond"/>
          <w:b/>
          <w:sz w:val="28"/>
          <w:szCs w:val="28"/>
        </w:rPr>
        <w:t>1</w:t>
      </w:r>
      <w:r w:rsidR="004F0665">
        <w:rPr>
          <w:rFonts w:ascii="Garamond" w:hAnsi="Garamond"/>
          <w:b/>
          <w:sz w:val="28"/>
          <w:szCs w:val="28"/>
          <w:lang w:val="en-US"/>
        </w:rPr>
        <w:t>.</w:t>
      </w:r>
      <w:r w:rsidR="008208FA">
        <w:rPr>
          <w:rFonts w:ascii="Garamond" w:hAnsi="Garamond"/>
          <w:b/>
          <w:sz w:val="28"/>
          <w:szCs w:val="28"/>
        </w:rPr>
        <w:t>12</w:t>
      </w:r>
    </w:p>
    <w:p w14:paraId="3FCAB5CB" w14:textId="77777777" w:rsidR="00AA1EFE" w:rsidRPr="00A82A7B" w:rsidRDefault="00AA1EFE" w:rsidP="00AA1EFE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AA1EFE" w:rsidRPr="002B5432" w14:paraId="192F01EF" w14:textId="77777777" w:rsidTr="00AA1EFE">
        <w:trPr>
          <w:trHeight w:val="928"/>
        </w:trPr>
        <w:tc>
          <w:tcPr>
            <w:tcW w:w="14688" w:type="dxa"/>
          </w:tcPr>
          <w:p w14:paraId="5EACF0EE" w14:textId="77777777" w:rsidR="00AA1EFE" w:rsidRPr="000C6E77" w:rsidRDefault="00AA1EFE" w:rsidP="009428E6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="000C6E77">
              <w:rPr>
                <w:rFonts w:ascii="Garamond" w:hAnsi="Garamond"/>
                <w:szCs w:val="20"/>
              </w:rPr>
              <w:t>Ассоциация «НП Совет рынка»</w:t>
            </w:r>
            <w:r w:rsidR="00A50006">
              <w:rPr>
                <w:rFonts w:ascii="Garamond" w:hAnsi="Garamond"/>
                <w:szCs w:val="20"/>
              </w:rPr>
              <w:t>.</w:t>
            </w:r>
          </w:p>
          <w:p w14:paraId="2BA3BF8A" w14:textId="30A00AC4" w:rsidR="00AA1EFE" w:rsidRPr="002B5432" w:rsidRDefault="00AA1EFE" w:rsidP="009428E6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i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Обоснование: </w:t>
            </w:r>
            <w:r w:rsidR="009428E6">
              <w:rPr>
                <w:rFonts w:ascii="Garamond" w:hAnsi="Garamond"/>
                <w:szCs w:val="20"/>
                <w:lang w:val="en-US"/>
              </w:rPr>
              <w:t>c</w:t>
            </w:r>
            <w:proofErr w:type="spellStart"/>
            <w:r w:rsidR="00247FF4" w:rsidRPr="00247FF4">
              <w:rPr>
                <w:rFonts w:ascii="Garamond" w:hAnsi="Garamond"/>
                <w:szCs w:val="20"/>
              </w:rPr>
              <w:t>огласно</w:t>
            </w:r>
            <w:proofErr w:type="spellEnd"/>
            <w:r w:rsidR="00247FF4" w:rsidRPr="00247FF4">
              <w:rPr>
                <w:rFonts w:ascii="Garamond" w:hAnsi="Garamond"/>
                <w:szCs w:val="20"/>
              </w:rPr>
              <w:t xml:space="preserve"> действующему порядку в отношении отдельных сечений экспорта-импорта на границе с Казахстаном возможен особый режим работы, при котором узлы расчетной модели не имеют электрических связей с ЕЭС России и работают параллельно с зарубежной энергосистемой.  Кроме того, возможен более общий режим изолированной от ЕЭС России и параллельной с зарубежной энергосистемой или ее частью работы энергорайона с изменением конфигурации энергорайона, включающего данные узлы. В ситуациях, когда один режим работы сменяется другим при проведении конкурентного отбора для балансирования системы, требуется более однозначно определить взаимное соответствие передаваемой от Системного оператора информации и фактического режима работы указанных сечений.</w:t>
            </w:r>
          </w:p>
          <w:p w14:paraId="43F7EC3F" w14:textId="32E28533" w:rsidR="00AA1EFE" w:rsidRPr="002B5432" w:rsidRDefault="00AA1EFE" w:rsidP="009428E6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</w:t>
            </w:r>
            <w:r w:rsidRPr="002B5432">
              <w:rPr>
                <w:rFonts w:ascii="Garamond" w:hAnsi="Garamond"/>
                <w:b/>
                <w:szCs w:val="20"/>
              </w:rPr>
              <w:t xml:space="preserve">ата вступления в силу: </w:t>
            </w:r>
            <w:r w:rsidR="000C6E77" w:rsidRPr="00AB45A5">
              <w:rPr>
                <w:rFonts w:ascii="Garamond" w:hAnsi="Garamond"/>
                <w:szCs w:val="20"/>
              </w:rPr>
              <w:t xml:space="preserve">1 </w:t>
            </w:r>
            <w:r w:rsidR="002844F3">
              <w:rPr>
                <w:rFonts w:ascii="Garamond" w:hAnsi="Garamond"/>
                <w:szCs w:val="20"/>
              </w:rPr>
              <w:t>сентября</w:t>
            </w:r>
            <w:r w:rsidR="000C6E77" w:rsidRPr="00AB45A5">
              <w:rPr>
                <w:rFonts w:ascii="Garamond" w:hAnsi="Garamond"/>
                <w:szCs w:val="20"/>
              </w:rPr>
              <w:t xml:space="preserve"> 2021 года</w:t>
            </w:r>
            <w:r w:rsidR="000C6E77" w:rsidRPr="00EB3EEF">
              <w:rPr>
                <w:rFonts w:ascii="Garamond" w:hAnsi="Garamond"/>
                <w:szCs w:val="20"/>
              </w:rPr>
              <w:t>.</w:t>
            </w:r>
          </w:p>
        </w:tc>
      </w:tr>
    </w:tbl>
    <w:p w14:paraId="3B69E785" w14:textId="77777777" w:rsidR="00AA1EFE" w:rsidRDefault="00AA1EFE" w:rsidP="006A5A72">
      <w:pPr>
        <w:pStyle w:val="20"/>
        <w:keepNext w:val="0"/>
        <w:widowControl w:val="0"/>
        <w:jc w:val="both"/>
        <w:rPr>
          <w:rFonts w:ascii="Garamond" w:hAnsi="Garamond"/>
          <w:sz w:val="26"/>
          <w:szCs w:val="26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p w14:paraId="68E3ADE9" w14:textId="77777777" w:rsidR="00AA1EFE" w:rsidRPr="002B5432" w:rsidRDefault="00AA1EFE" w:rsidP="006A5A72">
      <w:pPr>
        <w:pStyle w:val="20"/>
        <w:keepNext w:val="0"/>
        <w:widowControl w:val="0"/>
        <w:rPr>
          <w:rFonts w:ascii="Garamond" w:hAnsi="Garamond"/>
          <w:sz w:val="26"/>
          <w:szCs w:val="26"/>
        </w:rPr>
      </w:pPr>
      <w:r w:rsidRPr="002B5432">
        <w:rPr>
          <w:rFonts w:ascii="Garamond" w:hAnsi="Garamond"/>
          <w:sz w:val="26"/>
          <w:szCs w:val="26"/>
        </w:rPr>
        <w:t xml:space="preserve">Предложения по изменениям и дополнениям в </w:t>
      </w:r>
      <w:bookmarkEnd w:id="0"/>
      <w:bookmarkEnd w:id="1"/>
      <w:r w:rsidRPr="002B5432">
        <w:rPr>
          <w:rFonts w:ascii="Garamond" w:hAnsi="Garamond"/>
          <w:sz w:val="26"/>
          <w:szCs w:val="26"/>
        </w:rPr>
        <w:t xml:space="preserve">РЕГЛАМЕНТ </w:t>
      </w:r>
      <w:r w:rsidR="000C6E77">
        <w:rPr>
          <w:rFonts w:ascii="Garamond" w:hAnsi="Garamond"/>
          <w:sz w:val="26"/>
          <w:szCs w:val="26"/>
        </w:rPr>
        <w:t>ОПРЕДЕЛЕНИЯ ОБЪЕМОВ, ИНИЦИАТИВ И СТОИМОСТИ ОТКЛОНЕНИЙ</w:t>
      </w:r>
      <w:r w:rsidRPr="002B5432">
        <w:rPr>
          <w:rFonts w:ascii="Garamond" w:hAnsi="Garamond"/>
          <w:sz w:val="26"/>
          <w:szCs w:val="26"/>
        </w:rPr>
        <w:t xml:space="preserve"> (Приложение № </w:t>
      </w:r>
      <w:r w:rsidR="000C6E77">
        <w:rPr>
          <w:rFonts w:ascii="Garamond" w:hAnsi="Garamond"/>
          <w:sz w:val="26"/>
          <w:szCs w:val="26"/>
        </w:rPr>
        <w:t>12</w:t>
      </w:r>
      <w:r w:rsidRPr="002B5432">
        <w:rPr>
          <w:rFonts w:ascii="Garamond" w:hAnsi="Garamond"/>
          <w:sz w:val="26"/>
          <w:szCs w:val="26"/>
        </w:rPr>
        <w:t xml:space="preserve"> к Договору о присоединении к торговой системе оптового рынка)</w:t>
      </w:r>
      <w:bookmarkEnd w:id="2"/>
      <w:bookmarkEnd w:id="3"/>
      <w:bookmarkEnd w:id="4"/>
    </w:p>
    <w:p w14:paraId="0193A043" w14:textId="77777777" w:rsidR="00AA1EFE" w:rsidRPr="002B5432" w:rsidRDefault="00AA1EFE" w:rsidP="006A5A72">
      <w:pPr>
        <w:widowControl w:val="0"/>
        <w:rPr>
          <w:rFonts w:ascii="Garamond" w:hAnsi="Garamond"/>
        </w:rPr>
      </w:pP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6300"/>
        <w:gridCol w:w="7020"/>
      </w:tblGrid>
      <w:tr w:rsidR="00AA1EFE" w:rsidRPr="002B5432" w14:paraId="3700A5FA" w14:textId="77777777" w:rsidTr="00AA1EFE">
        <w:tc>
          <w:tcPr>
            <w:tcW w:w="1440" w:type="dxa"/>
            <w:vAlign w:val="center"/>
          </w:tcPr>
          <w:p w14:paraId="1777CAF0" w14:textId="77777777" w:rsidR="00AA1EFE" w:rsidRDefault="00AA1EFE" w:rsidP="00AA1EF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69B10D30" w14:textId="77777777" w:rsidR="00AA1EFE" w:rsidRPr="002B5432" w:rsidRDefault="00AA1EFE" w:rsidP="00AA1EF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300" w:type="dxa"/>
          </w:tcPr>
          <w:p w14:paraId="4853D207" w14:textId="77777777" w:rsidR="00AA1EFE" w:rsidRPr="008C14FB" w:rsidRDefault="00AA1EFE" w:rsidP="00AA1EFE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52AD21C5" w14:textId="77777777" w:rsidR="00AA1EFE" w:rsidRPr="002B5432" w:rsidRDefault="00AA1EFE" w:rsidP="00AA1EFE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20" w:type="dxa"/>
          </w:tcPr>
          <w:p w14:paraId="56F56A7E" w14:textId="77777777" w:rsidR="00AA1EFE" w:rsidRPr="002B5432" w:rsidRDefault="00AA1EFE" w:rsidP="00AA1EF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20033B24" w14:textId="77777777" w:rsidR="00AA1EFE" w:rsidRPr="002B5432" w:rsidRDefault="00AA1EFE" w:rsidP="00AA1EFE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AA1EFE" w:rsidRPr="002B5432" w14:paraId="0B5D2BB7" w14:textId="77777777" w:rsidTr="00AA1EFE">
        <w:trPr>
          <w:trHeight w:val="1501"/>
        </w:trPr>
        <w:tc>
          <w:tcPr>
            <w:tcW w:w="1440" w:type="dxa"/>
          </w:tcPr>
          <w:p w14:paraId="2EEC2FC1" w14:textId="77777777" w:rsidR="00AA1EFE" w:rsidRPr="006A5A72" w:rsidRDefault="000C6E77" w:rsidP="006A5A72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A5A72">
              <w:rPr>
                <w:rFonts w:ascii="Garamond" w:hAnsi="Garamond"/>
                <w:b/>
                <w:sz w:val="22"/>
                <w:szCs w:val="22"/>
              </w:rPr>
              <w:t>2.4.4</w:t>
            </w:r>
          </w:p>
        </w:tc>
        <w:tc>
          <w:tcPr>
            <w:tcW w:w="6300" w:type="dxa"/>
          </w:tcPr>
          <w:p w14:paraId="35F0C0FA" w14:textId="77777777" w:rsidR="00AA1EFE" w:rsidRDefault="00AA1EFE" w:rsidP="007E4D25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after="120"/>
              <w:ind w:left="643" w:hanging="360"/>
              <w:rPr>
                <w:szCs w:val="22"/>
              </w:rPr>
            </w:pPr>
            <w:r w:rsidRPr="002B5432">
              <w:rPr>
                <w:szCs w:val="22"/>
              </w:rPr>
              <w:t>…</w:t>
            </w:r>
          </w:p>
          <w:p w14:paraId="702803B2" w14:textId="77777777" w:rsidR="000C6E77" w:rsidRPr="000C6E77" w:rsidRDefault="000C6E77" w:rsidP="007E4D25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0C6E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ГТП импорта, зарегистрированной на сечении экспорта-импорта, по которому осуществляется энергоснабжение </w:t>
            </w:r>
            <w:r w:rsidRPr="000C6E77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энергорайона </w:t>
            </w:r>
            <w:r w:rsidRPr="000C6E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на территории Омской области или Курганской области, не имеющего электрических связей с ЕЭС России и работающего параллельно с зарубежной энергосистемой или ее частью, определяется величина отклонений по собственной инициативе, обусловленная поставкой в </w:t>
            </w:r>
            <w:r w:rsidRPr="000C6E77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энергорайон </w:t>
            </w:r>
            <w:r w:rsidRPr="000C6E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на территории Омской области или Курганской области, не имеющий электрических связей с ЕЭС России и работающий </w:t>
            </w:r>
            <w:r w:rsidRPr="000C6E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параллельно с зарубежной энергосистемой или ее частью, как:</w:t>
            </w:r>
          </w:p>
          <w:p w14:paraId="4A22AB71" w14:textId="77777777" w:rsidR="000C6E77" w:rsidRPr="000C6E77" w:rsidRDefault="000C6E77" w:rsidP="007E4D25">
            <w:pPr>
              <w:widowControl w:val="0"/>
              <w:spacing w:before="120" w:after="120"/>
              <w:ind w:left="720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0C6E77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2100" w:dyaOrig="400" w14:anchorId="03AFB2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24pt" o:ole="">
                  <v:imagedata r:id="rId7" o:title=""/>
                </v:shape>
                <o:OLEObject Type="Embed" ProgID="Equation.3" ShapeID="_x0000_i1025" DrawAspect="Content" ObjectID="_1691382109" r:id="rId8"/>
              </w:object>
            </w:r>
            <w:r w:rsidRPr="000C6E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2F17D78F" w14:textId="77777777" w:rsidR="000C6E77" w:rsidRPr="000C6E77" w:rsidRDefault="000C6E77" w:rsidP="007E4D25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0C6E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случае если для сечения, по которому осуществляется энергоснабжение </w:t>
            </w:r>
            <w:r w:rsidRPr="000C6E77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энергорайона </w:t>
            </w:r>
            <w:r w:rsidRPr="000C6E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 территории Омской области, не имеющего электрических связей с ЕЭС России и работающего параллельно с зарубежной энергосистемой или ее частью, при планировании на сутки вперед был учтен режим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энергорайона, но от СО получена информация о прекращении действия данного режима в соответствующий час, то для соответствующей сечению ГТП импорта требования пункта 2.4.6 настоящего Регламента не выполняются и определяется величина отклонений по собственной инициативе:</w:t>
            </w:r>
          </w:p>
          <w:p w14:paraId="40B543B1" w14:textId="77777777" w:rsidR="000C6E77" w:rsidRPr="000C6E77" w:rsidRDefault="000C6E77" w:rsidP="007E4D25">
            <w:pPr>
              <w:widowControl w:val="0"/>
              <w:spacing w:before="120" w:after="120"/>
              <w:ind w:firstLine="567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0C6E77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2079" w:dyaOrig="400" w14:anchorId="064F71F3">
                <v:shape id="_x0000_i1026" type="#_x0000_t75" style="width:102pt;height:24pt" o:ole="">
                  <v:imagedata r:id="rId9" o:title=""/>
                </v:shape>
                <o:OLEObject Type="Embed" ProgID="Equation.3" ShapeID="_x0000_i1026" DrawAspect="Content" ObjectID="_1691382110" r:id="rId10"/>
              </w:object>
            </w:r>
            <w:r w:rsidRPr="000C6E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.</w:t>
            </w:r>
          </w:p>
          <w:p w14:paraId="70BE96D9" w14:textId="50A9F596" w:rsidR="000C6E77" w:rsidRPr="006A5A72" w:rsidRDefault="000C6E77" w:rsidP="007E4D25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0C6E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 этом для соответствующих ГТП экспорта и ГТП </w:t>
            </w:r>
            <w:proofErr w:type="gramStart"/>
            <w:r w:rsidRPr="000C6E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импорта </w:t>
            </w:r>
            <w:r w:rsidRPr="000C6E77">
              <w:rPr>
                <w:rFonts w:ascii="Garamond" w:hAnsi="Garamond"/>
                <w:position w:val="-12"/>
                <w:sz w:val="22"/>
                <w:szCs w:val="22"/>
                <w:highlight w:val="yellow"/>
                <w:lang w:val="en-GB" w:eastAsia="en-US"/>
              </w:rPr>
              <w:object w:dxaOrig="980" w:dyaOrig="380" w14:anchorId="30D33219">
                <v:shape id="_x0000_i1027" type="#_x0000_t75" style="width:48pt;height:18pt" o:ole="">
                  <v:imagedata r:id="rId11" o:title=""/>
                </v:shape>
                <o:OLEObject Type="Embed" ProgID="Equation.3" ShapeID="_x0000_i1027" DrawAspect="Content" ObjectID="_1691382111" r:id="rId12"/>
              </w:object>
            </w:r>
            <w:r w:rsidRPr="000C6E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  <w:proofErr w:type="gramEnd"/>
          </w:p>
        </w:tc>
        <w:tc>
          <w:tcPr>
            <w:tcW w:w="7020" w:type="dxa"/>
          </w:tcPr>
          <w:p w14:paraId="5AADF565" w14:textId="77777777" w:rsidR="00AA1EFE" w:rsidRPr="002B5432" w:rsidRDefault="00AA1EFE" w:rsidP="007E4D25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</w:tabs>
              <w:spacing w:after="120"/>
              <w:rPr>
                <w:szCs w:val="22"/>
              </w:rPr>
            </w:pPr>
            <w:r w:rsidRPr="002B5432">
              <w:rPr>
                <w:szCs w:val="22"/>
              </w:rPr>
              <w:lastRenderedPageBreak/>
              <w:t>…</w:t>
            </w:r>
          </w:p>
          <w:p w14:paraId="5EAC198D" w14:textId="77777777" w:rsidR="00AA1EFE" w:rsidRPr="000E7B3C" w:rsidRDefault="000E7B3C" w:rsidP="007E4D25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</w:tabs>
              <w:spacing w:after="120"/>
              <w:rPr>
                <w:b/>
                <w:szCs w:val="22"/>
              </w:rPr>
            </w:pPr>
            <w:r w:rsidRPr="000E7B3C">
              <w:rPr>
                <w:b/>
                <w:szCs w:val="22"/>
              </w:rPr>
              <w:t>Удалить абзацы</w:t>
            </w:r>
          </w:p>
        </w:tc>
      </w:tr>
      <w:tr w:rsidR="008D7288" w:rsidRPr="002B5432" w14:paraId="1096044D" w14:textId="77777777" w:rsidTr="005C3923">
        <w:trPr>
          <w:trHeight w:val="841"/>
        </w:trPr>
        <w:tc>
          <w:tcPr>
            <w:tcW w:w="1440" w:type="dxa"/>
          </w:tcPr>
          <w:p w14:paraId="449CB26A" w14:textId="77777777" w:rsidR="006566A1" w:rsidRDefault="006566A1" w:rsidP="006566A1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Д</w:t>
            </w:r>
            <w:r w:rsidRPr="00971A9E">
              <w:rPr>
                <w:rFonts w:ascii="Garamond" w:hAnsi="Garamond"/>
                <w:b/>
                <w:sz w:val="22"/>
                <w:szCs w:val="22"/>
              </w:rPr>
              <w:t>обавить пункт 2.4.6.2</w:t>
            </w:r>
          </w:p>
          <w:p w14:paraId="4A75733C" w14:textId="77777777" w:rsidR="006566A1" w:rsidRDefault="006566A1" w:rsidP="006566A1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1062B7C4" w14:textId="16D29FC3" w:rsidR="008D7288" w:rsidRDefault="006566A1" w:rsidP="006566A1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И</w:t>
            </w:r>
            <w:r w:rsidRPr="00A970BA">
              <w:rPr>
                <w:rFonts w:ascii="Garamond" w:hAnsi="Garamond"/>
                <w:b/>
                <w:sz w:val="22"/>
                <w:szCs w:val="22"/>
              </w:rPr>
              <w:t>зменить нумерацию пункта с 2.4.6.</w:t>
            </w:r>
            <w:r w:rsidRPr="00503F73">
              <w:rPr>
                <w:rFonts w:ascii="Garamond" w:hAnsi="Garamond"/>
                <w:b/>
                <w:sz w:val="22"/>
                <w:szCs w:val="22"/>
              </w:rPr>
              <w:t>2</w:t>
            </w:r>
            <w:r w:rsidRPr="00A970BA">
              <w:rPr>
                <w:rFonts w:ascii="Garamond" w:hAnsi="Garamond"/>
                <w:b/>
                <w:sz w:val="22"/>
                <w:szCs w:val="22"/>
              </w:rPr>
              <w:t xml:space="preserve"> на 2.4.7.</w:t>
            </w:r>
            <w:r w:rsidRPr="00503F73"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  <w:tc>
          <w:tcPr>
            <w:tcW w:w="6300" w:type="dxa"/>
          </w:tcPr>
          <w:p w14:paraId="36309B18" w14:textId="4F7687E7" w:rsidR="008D7288" w:rsidRPr="002B5432" w:rsidRDefault="006566A1" w:rsidP="007E4D25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after="120"/>
              <w:ind w:left="283"/>
              <w:rPr>
                <w:szCs w:val="22"/>
              </w:rPr>
            </w:pPr>
            <w:r w:rsidRPr="00C440F9">
              <w:rPr>
                <w:szCs w:val="22"/>
              </w:rPr>
              <w:t xml:space="preserve">Если в отношении данного часа для данного сечения экспорта-импорта была получена от ДДПР в соответствии с </w:t>
            </w:r>
            <w:r w:rsidRPr="00B5219D">
              <w:rPr>
                <w:szCs w:val="22"/>
                <w:highlight w:val="yellow"/>
              </w:rPr>
              <w:t>подпунктом 3) п. 2.4.1</w:t>
            </w:r>
            <w:r w:rsidRPr="00C440F9">
              <w:rPr>
                <w:szCs w:val="22"/>
              </w:rPr>
              <w:t xml:space="preserve"> настоящего Регламента информация о составляющих величин отклонений, относимых на внешнюю инициативу, либо были определены </w:t>
            </w:r>
            <w:r w:rsidRPr="00C440F9">
              <w:rPr>
                <w:iCs/>
                <w:color w:val="000000"/>
                <w:szCs w:val="22"/>
              </w:rPr>
              <w:t xml:space="preserve">объемы отклонений </w:t>
            </w:r>
            <w:r w:rsidRPr="00A5204A">
              <w:rPr>
                <w:color w:val="000000"/>
                <w:szCs w:val="22"/>
                <w:highlight w:val="yellow"/>
              </w:rPr>
              <w:object w:dxaOrig="639" w:dyaOrig="400" w14:anchorId="0C2F387C">
                <v:shape id="_x0000_i1028" type="#_x0000_t75" style="width:36pt;height:24pt" o:ole="">
                  <v:imagedata r:id="rId13" o:title=""/>
                </v:shape>
                <o:OLEObject Type="Embed" ProgID="Equation.3" ShapeID="_x0000_i1028" DrawAspect="Content" ObjectID="_1691382112" r:id="rId14"/>
              </w:object>
            </w:r>
            <w:r w:rsidRPr="00C440F9">
              <w:rPr>
                <w:szCs w:val="22"/>
              </w:rPr>
              <w:t>, то для ГТП экспорта и ГТП импорта, зарегистрированных на этом сечении экспорта-импорта, для случаев, указанных в подпункте б) подпункта 1, подпункте б) подпункта 2 и подпунктах б), в), д), е), ж), з), и) подпункта 3 настоящего пункта, при расчете отклонений, относимых на собственную инициативу (</w:t>
            </w:r>
            <w:proofErr w:type="spellStart"/>
            <w:r w:rsidRPr="00C440F9">
              <w:rPr>
                <w:szCs w:val="22"/>
              </w:rPr>
              <w:t>ИС</w:t>
            </w:r>
            <w:r w:rsidRPr="00C440F9">
              <w:rPr>
                <w:szCs w:val="22"/>
                <w:vertAlign w:val="subscript"/>
              </w:rPr>
              <w:t>он</w:t>
            </w:r>
            <w:proofErr w:type="spellEnd"/>
            <w:r w:rsidRPr="00C440F9">
              <w:rPr>
                <w:szCs w:val="22"/>
              </w:rPr>
              <w:t xml:space="preserve">, ИС), величина этих отклонений рассчитывается с учетом корректировки на величины отклонений, относимых на внешнюю инициативу, и отклонений </w:t>
            </w:r>
            <w:r w:rsidRPr="00A5204A">
              <w:rPr>
                <w:color w:val="000000"/>
                <w:szCs w:val="22"/>
                <w:highlight w:val="yellow"/>
              </w:rPr>
              <w:object w:dxaOrig="639" w:dyaOrig="400" w14:anchorId="0A969FA1">
                <v:shape id="_x0000_i1029" type="#_x0000_t75" style="width:36pt;height:24pt" o:ole="">
                  <v:imagedata r:id="rId13" o:title=""/>
                </v:shape>
                <o:OLEObject Type="Embed" ProgID="Equation.3" ShapeID="_x0000_i1029" DrawAspect="Content" ObjectID="_1691382113" r:id="rId15"/>
              </w:object>
            </w:r>
            <w:r w:rsidRPr="00C440F9">
              <w:rPr>
                <w:szCs w:val="22"/>
              </w:rPr>
              <w:t xml:space="preserve">, при этом в </w:t>
            </w:r>
            <w:r w:rsidRPr="00C440F9">
              <w:rPr>
                <w:szCs w:val="22"/>
              </w:rPr>
              <w:lastRenderedPageBreak/>
              <w:t>первую очередь корректируется составляющая величины отклонения по собственной инициативе, отнесенная на ГТП импорта, во вторую очередь – отнесенная на ГТП экспорта.</w:t>
            </w:r>
          </w:p>
        </w:tc>
        <w:tc>
          <w:tcPr>
            <w:tcW w:w="7020" w:type="dxa"/>
          </w:tcPr>
          <w:p w14:paraId="7F9A93A0" w14:textId="77777777" w:rsidR="006566A1" w:rsidRPr="000E7131" w:rsidRDefault="006566A1" w:rsidP="006566A1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ind w:left="851" w:hanging="851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C70D80">
              <w:rPr>
                <w:rFonts w:ascii="Garamond" w:hAnsi="Garamond"/>
                <w:b/>
                <w:sz w:val="22"/>
                <w:szCs w:val="22"/>
                <w:highlight w:val="yellow"/>
              </w:rPr>
              <w:lastRenderedPageBreak/>
              <w:t xml:space="preserve">2.4.7.2. </w:t>
            </w:r>
            <w:r w:rsidRPr="00C70D8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Уче</w:t>
            </w:r>
            <w:r w:rsidRPr="000E713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 внешних инициатив при режиме изолированной работы</w:t>
            </w:r>
          </w:p>
          <w:p w14:paraId="709B4AEB" w14:textId="681E570F" w:rsidR="008D7288" w:rsidRPr="002B5432" w:rsidRDefault="006566A1" w:rsidP="006566A1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</w:tabs>
              <w:spacing w:after="120"/>
              <w:rPr>
                <w:szCs w:val="22"/>
              </w:rPr>
            </w:pPr>
            <w:r w:rsidRPr="000E7131">
              <w:rPr>
                <w:szCs w:val="22"/>
              </w:rPr>
              <w:t xml:space="preserve">Если в отношении данного часа для данного сечения экспорта-импорта была получена от ДДПР в соответствии с </w:t>
            </w:r>
            <w:r w:rsidRPr="00B5219D">
              <w:rPr>
                <w:szCs w:val="22"/>
                <w:highlight w:val="yellow"/>
              </w:rPr>
              <w:t>пунктом</w:t>
            </w:r>
            <w:r w:rsidRPr="00B5219D">
              <w:rPr>
                <w:szCs w:val="22"/>
                <w:highlight w:val="yellow"/>
                <w:lang w:val="en-GB"/>
              </w:rPr>
              <w:t> </w:t>
            </w:r>
            <w:r w:rsidRPr="00B5219D">
              <w:rPr>
                <w:szCs w:val="22"/>
                <w:highlight w:val="yellow"/>
              </w:rPr>
              <w:t>2.4.1.3</w:t>
            </w:r>
            <w:r w:rsidRPr="000E7131">
              <w:rPr>
                <w:szCs w:val="22"/>
              </w:rPr>
              <w:t xml:space="preserve"> настоящего Регламента информация о составляющих величин отклонений, относимых на внешнюю инициативу, либо были определены объемы отклонений</w:t>
            </w:r>
            <w:r>
              <w:rPr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  <w:highlight w:val="yellow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Ипр</m:t>
                  </m:r>
                </m:sup>
              </m:sSubSup>
            </m:oMath>
            <w:r w:rsidRPr="000E7131">
              <w:rPr>
                <w:szCs w:val="22"/>
              </w:rPr>
              <w:t>, то для ГТП экспорта и ГТП импорта, зарегистрированных на этом сечении экспорта-импорта, для случаев, указанных в подпункте б) подпункта 1, подпункте б) подпункта 2 и подпунктах б), в), д), е), ж), з), и) подпункта 3 настоящего пункта, при расчете отклонений, относимых на собственную инициативу (</w:t>
            </w:r>
            <w:proofErr w:type="spellStart"/>
            <w:r w:rsidRPr="000E7131">
              <w:rPr>
                <w:szCs w:val="22"/>
              </w:rPr>
              <w:t>ИСон</w:t>
            </w:r>
            <w:proofErr w:type="spellEnd"/>
            <w:r w:rsidRPr="000E7131">
              <w:rPr>
                <w:szCs w:val="22"/>
              </w:rPr>
              <w:t>, ИС), величина этих отклонений рассчитывается с учетом корректировки на величины отклонений, относимых на внешнюю инициативу, и отклонений</w:t>
            </w:r>
            <w:r>
              <w:rPr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  <w:highlight w:val="yellow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Ипр</m:t>
                  </m:r>
                </m:sup>
              </m:sSubSup>
            </m:oMath>
            <w:r w:rsidRPr="000E7131">
              <w:rPr>
                <w:szCs w:val="22"/>
              </w:rPr>
              <w:t xml:space="preserve">, при этом в первую очередь корректируется составляющая величины отклонения по собственной инициативе, отнесенная на ГТП импорта, во вторую очередь </w:t>
            </w:r>
            <w:r w:rsidRPr="000E7131">
              <w:rPr>
                <w:szCs w:val="22"/>
              </w:rPr>
              <w:lastRenderedPageBreak/>
              <w:t>– отнесенная на ГТП экспорта.</w:t>
            </w:r>
          </w:p>
        </w:tc>
      </w:tr>
      <w:tr w:rsidR="0039689C" w:rsidRPr="002B5432" w14:paraId="1495E860" w14:textId="77777777" w:rsidTr="00C563B6">
        <w:trPr>
          <w:trHeight w:val="557"/>
        </w:trPr>
        <w:tc>
          <w:tcPr>
            <w:tcW w:w="1440" w:type="dxa"/>
          </w:tcPr>
          <w:p w14:paraId="3722741C" w14:textId="77777777" w:rsidR="006566A1" w:rsidRPr="00503F73" w:rsidRDefault="006566A1" w:rsidP="006566A1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Д</w:t>
            </w:r>
            <w:r w:rsidRPr="00971A9E">
              <w:rPr>
                <w:rFonts w:ascii="Garamond" w:hAnsi="Garamond"/>
                <w:b/>
                <w:sz w:val="22"/>
                <w:szCs w:val="22"/>
              </w:rPr>
              <w:t>обавить пункт 2.4.6.</w:t>
            </w:r>
            <w:r w:rsidRPr="00503F73">
              <w:rPr>
                <w:rFonts w:ascii="Garamond" w:hAnsi="Garamond"/>
                <w:b/>
                <w:sz w:val="22"/>
                <w:szCs w:val="22"/>
              </w:rPr>
              <w:t>3</w:t>
            </w:r>
          </w:p>
          <w:p w14:paraId="3FCD1A82" w14:textId="77777777" w:rsidR="006566A1" w:rsidRDefault="006566A1" w:rsidP="006566A1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88491EC" w14:textId="3A7EB9E1" w:rsidR="0039689C" w:rsidRDefault="006566A1" w:rsidP="006566A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И</w:t>
            </w:r>
            <w:r w:rsidRPr="00A970BA">
              <w:rPr>
                <w:rFonts w:ascii="Garamond" w:hAnsi="Garamond"/>
                <w:b/>
                <w:sz w:val="22"/>
                <w:szCs w:val="22"/>
              </w:rPr>
              <w:t>зменить нумерацию пункта с 2.4.6.</w:t>
            </w:r>
            <w:r w:rsidRPr="00503F73">
              <w:rPr>
                <w:rFonts w:ascii="Garamond" w:hAnsi="Garamond"/>
                <w:b/>
                <w:sz w:val="22"/>
                <w:szCs w:val="22"/>
              </w:rPr>
              <w:t>3</w:t>
            </w:r>
            <w:r w:rsidRPr="00A970BA">
              <w:rPr>
                <w:rFonts w:ascii="Garamond" w:hAnsi="Garamond"/>
                <w:b/>
                <w:sz w:val="22"/>
                <w:szCs w:val="22"/>
              </w:rPr>
              <w:t xml:space="preserve"> на 2.4.7.</w:t>
            </w:r>
            <w:r w:rsidRPr="00503F73">
              <w:rPr>
                <w:rFonts w:ascii="Garamond" w:hAnsi="Garamond"/>
                <w:b/>
                <w:sz w:val="22"/>
                <w:szCs w:val="22"/>
              </w:rPr>
              <w:t>3</w:t>
            </w:r>
          </w:p>
          <w:p w14:paraId="75C6E26E" w14:textId="6D8207F3" w:rsidR="0039689C" w:rsidRDefault="0039689C" w:rsidP="0039689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300" w:type="dxa"/>
          </w:tcPr>
          <w:p w14:paraId="69E98C1F" w14:textId="24077527" w:rsidR="0039689C" w:rsidRPr="00AB45A5" w:rsidRDefault="0039689C" w:rsidP="007E4D25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after="120"/>
              <w:ind w:left="283"/>
              <w:rPr>
                <w:szCs w:val="22"/>
              </w:rPr>
            </w:pPr>
            <w:r>
              <w:rPr>
                <w:b/>
                <w:szCs w:val="22"/>
              </w:rPr>
              <w:t>Д</w:t>
            </w:r>
            <w:r w:rsidRPr="00C70D80">
              <w:rPr>
                <w:b/>
                <w:szCs w:val="22"/>
              </w:rPr>
              <w:t>обавить пункт</w:t>
            </w:r>
          </w:p>
        </w:tc>
        <w:tc>
          <w:tcPr>
            <w:tcW w:w="7020" w:type="dxa"/>
          </w:tcPr>
          <w:p w14:paraId="4BE1D352" w14:textId="21940FFD" w:rsidR="006566A1" w:rsidRDefault="006566A1" w:rsidP="006566A1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ind w:left="851" w:hanging="851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2.4.7.3. </w:t>
            </w:r>
            <w:r w:rsidRPr="000E713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Особые случаи расчета</w:t>
            </w:r>
          </w:p>
          <w:p w14:paraId="3174BBF1" w14:textId="77777777" w:rsidR="006566A1" w:rsidRDefault="006566A1" w:rsidP="006566A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Для ГТП экспорта/импорта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,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отнесенн</w:t>
            </w:r>
            <w:r w:rsidRPr="00BA640F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ых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к особым сечениям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,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по которым осуществляется энергоснабжение </w:t>
            </w:r>
            <w:proofErr w:type="spellStart"/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энергорайона</w:t>
            </w:r>
            <w:proofErr w:type="spellEnd"/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на территории Омской области или Курганской области, не имеющих эле</w:t>
            </w:r>
            <w:bookmarkStart w:id="5" w:name="_GoBack"/>
            <w:bookmarkEnd w:id="5"/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ктрических связей с ЕЭС России и работающих параллельно с зарубежной энергосистемой или ее частью, определенн</w:t>
            </w:r>
            <w:r w:rsidRPr="00BA640F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ым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в соответствии с пунктом 11.2 </w:t>
            </w:r>
            <w:r w:rsidRPr="00937386">
              <w:rPr>
                <w:rFonts w:ascii="Garamond" w:hAnsi="Garamond"/>
                <w:i/>
                <w:iCs/>
                <w:sz w:val="22"/>
                <w:szCs w:val="20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(Приложение № 15 к </w:t>
            </w:r>
            <w:r w:rsidRPr="00937386">
              <w:rPr>
                <w:rFonts w:ascii="Garamond" w:hAnsi="Garamond"/>
                <w:i/>
                <w:iCs/>
                <w:sz w:val="22"/>
                <w:szCs w:val="20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), расчет о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бъемов и инициатив отклонени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й выполняется следующим образом.</w:t>
            </w:r>
          </w:p>
          <w:p w14:paraId="665AED82" w14:textId="77777777" w:rsidR="006566A1" w:rsidRPr="003A7CDB" w:rsidRDefault="006566A1" w:rsidP="00331183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ind w:firstLine="16"/>
              <w:jc w:val="both"/>
              <w:outlineLvl w:val="3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П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ри планировании на сутки вперед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особый</w:t>
            </w:r>
            <w:r w:rsidRPr="003A7CDB">
              <w:rPr>
                <w:highlight w:val="yellow"/>
              </w:rPr>
              <w:t xml:space="preserve"> 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режим поставки электроэнергии в отдельные </w:t>
            </w:r>
            <w:proofErr w:type="spellStart"/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энергорайоны</w:t>
            </w:r>
            <w:proofErr w:type="spellEnd"/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на территории Курганской области и Омской области регистрируется КО на основании пункта 11.2 </w:t>
            </w:r>
            <w:r w:rsidRPr="003A7CDB">
              <w:rPr>
                <w:rFonts w:ascii="Garamond" w:hAnsi="Garamond"/>
                <w:i/>
                <w:iCs/>
                <w:sz w:val="22"/>
                <w:szCs w:val="20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(Приложение № 15 к </w:t>
            </w:r>
            <w:r w:rsidRPr="003A7CDB">
              <w:rPr>
                <w:rFonts w:ascii="Garamond" w:hAnsi="Garamond"/>
                <w:i/>
                <w:iCs/>
                <w:sz w:val="22"/>
                <w:szCs w:val="20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)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.</w:t>
            </w:r>
          </w:p>
          <w:p w14:paraId="49566FB7" w14:textId="77777777" w:rsidR="006566A1" w:rsidRPr="003A7CDB" w:rsidRDefault="006566A1" w:rsidP="006566A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1. В случае если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при планировании на сутки вперед</w:t>
            </w:r>
            <w:r w:rsidRPr="00C853A9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был 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учтен </w:t>
            </w:r>
            <w:r w:rsidRPr="003A7CD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режим острова нагрузки 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и от СО не получена информация о прекращении действия данного режима, расчет отклонений осущест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вляется в соответствии с пунктами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2.4.7.1 и 2.4.7.2 настоящего Регламента;</w:t>
            </w:r>
          </w:p>
          <w:p w14:paraId="14089101" w14:textId="77777777" w:rsidR="006566A1" w:rsidRPr="00D45CB5" w:rsidRDefault="006566A1" w:rsidP="006566A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2.</w:t>
            </w:r>
            <w:r w:rsidRPr="003A7CDB">
              <w:rPr>
                <w:rFonts w:ascii="Garamond" w:hAnsi="Garamond"/>
                <w:b/>
                <w:sz w:val="22"/>
                <w:szCs w:val="20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 при планировании на сутки вперед был учтен </w:t>
            </w:r>
            <w:r w:rsidRPr="003A7CD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 острова нагрузки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, от СО получена информация о прекращения действия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данного режима </w:t>
            </w:r>
            <w:proofErr w:type="gramStart"/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≤0</m:t>
              </m:r>
            </m:oMath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proofErr w:type="gramEnd"/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расчет отклонений осуществляется следующим образом:</w:t>
            </w:r>
          </w:p>
          <w:p w14:paraId="27AF9ED1" w14:textId="77777777" w:rsidR="006566A1" w:rsidRPr="00D45CB5" w:rsidRDefault="006566A1" w:rsidP="006566A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Pr="00D45CB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176C8E65" w14:textId="77777777" w:rsidR="006566A1" w:rsidRPr="00D45CB5" w:rsidRDefault="006566A1" w:rsidP="006566A1">
            <w:pPr>
              <w:widowControl w:val="0"/>
              <w:spacing w:before="120" w:after="120"/>
              <w:ind w:firstLine="68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0</m:t>
              </m:r>
            </m:oMath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A9F83B2" w14:textId="77777777" w:rsidR="006566A1" w:rsidRPr="00D45CB5" w:rsidRDefault="006566A1" w:rsidP="006566A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3.</w:t>
            </w:r>
            <w:r w:rsidRPr="00D45CB5">
              <w:rPr>
                <w:rFonts w:ascii="Garamond" w:hAnsi="Garamond"/>
                <w:b/>
                <w:sz w:val="22"/>
                <w:szCs w:val="20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</w:t>
            </w:r>
            <w:r w:rsidRPr="00C853A9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при планировании на сутки вперед</w:t>
            </w:r>
            <w:r w:rsidRPr="00C853A9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был учтен 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изолированный режим, от СО не получена информация о возникновении режима острова нагрузки </w:t>
            </w:r>
            <w:proofErr w:type="gramStart"/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≤0</m:t>
              </m:r>
            </m:oMath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,</w:t>
            </w:r>
            <w:proofErr w:type="gramEnd"/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расчет отклонений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lastRenderedPageBreak/>
              <w:t>осуществляется следующим образом:</w:t>
            </w:r>
          </w:p>
          <w:p w14:paraId="148C16B0" w14:textId="77777777" w:rsidR="006566A1" w:rsidRPr="00D45CB5" w:rsidRDefault="006566A1" w:rsidP="006566A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Pr="00D45CB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5D4F1B4D" w14:textId="77777777" w:rsidR="006566A1" w:rsidRPr="00D45CB5" w:rsidRDefault="006566A1" w:rsidP="006566A1">
            <w:pPr>
              <w:widowControl w:val="0"/>
              <w:spacing w:before="120" w:after="120"/>
              <w:ind w:firstLine="68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0</m:t>
              </m:r>
            </m:oMath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ED7501C" w14:textId="77777777" w:rsidR="006566A1" w:rsidRPr="00D45CB5" w:rsidRDefault="006566A1" w:rsidP="006566A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4.</w:t>
            </w:r>
            <w:r w:rsidRPr="00D45CB5">
              <w:rPr>
                <w:rFonts w:ascii="Garamond" w:hAnsi="Garamond"/>
                <w:b/>
                <w:sz w:val="22"/>
                <w:szCs w:val="20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учае если при планировании на сутки вперед был учтен изолированный режим и от СО получена информация о возникновении режима острова нагрузки, расчет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отклонений осущест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вляется в соответствии с пунктами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2.4.7.1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и 2.4.7.2 настоящего Регламента.</w:t>
            </w:r>
          </w:p>
          <w:p w14:paraId="652914AA" w14:textId="77777777" w:rsidR="006566A1" w:rsidRPr="00D45CB5" w:rsidRDefault="006566A1" w:rsidP="006566A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5. В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при планировании на сутки вперед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не был учтен изолированный режим, не 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был учтен режим острова нагрузки, от СО не получена информация о возникновении режима острова нагрузки </w:t>
            </w:r>
            <w:proofErr w:type="gramStart"/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&gt;0</m:t>
              </m:r>
            </m:oMath>
            <w:r w:rsidRPr="003A7CD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proofErr w:type="gramEnd"/>
            <w:r w:rsidRPr="003A7CD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определение об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ъемов и инициатив отклонений в данных ГТП производится по общему порядку в соответствии с пунктами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2.4.1–2.4.5 настоящего Регламента.</w:t>
            </w:r>
          </w:p>
          <w:p w14:paraId="740ABD6F" w14:textId="77777777" w:rsidR="006566A1" w:rsidRPr="00D45CB5" w:rsidRDefault="006566A1" w:rsidP="006566A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6.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 при планировании на сутки вперед был учтен изолированный режим, от СО не получена информация о возникновении режима острова нагрузки </w:t>
            </w:r>
            <w:proofErr w:type="gramStart"/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&gt;0</m:t>
              </m:r>
            </m:oMath>
            <w:r w:rsidRPr="003A7CD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proofErr w:type="gramEnd"/>
            <w:r w:rsidRPr="003A7CD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определение объемов и инициатив отклонений в данных ГТП производится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по общему порядку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 соответствии с пунктами 2.4.1–2.4.5 настоящего Регламента.</w:t>
            </w:r>
          </w:p>
          <w:p w14:paraId="5B1238F1" w14:textId="77777777" w:rsidR="006566A1" w:rsidRDefault="006566A1" w:rsidP="006566A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7. В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при планировании на сутки вперед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был учтен режим острова нагрузки,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от СО получена информац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ия о прекращения данного режима </w:t>
            </w:r>
            <w:proofErr w:type="gramStart"/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&gt;0</m:t>
              </m:r>
            </m:oMath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proofErr w:type="gramEnd"/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расчет отклонений осущ</w:t>
            </w:r>
            <w:r w:rsidRPr="00062CC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ест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вляется в соответствии с пунктами</w:t>
            </w:r>
            <w:r w:rsidRPr="00062CC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2.4.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7</w:t>
            </w:r>
            <w:r w:rsidRPr="00062CC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.1 и 2.4.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7.2 настоящего Регламента.</w:t>
            </w:r>
          </w:p>
          <w:p w14:paraId="651F6BDC" w14:textId="77777777" w:rsidR="006566A1" w:rsidRPr="008D791B" w:rsidRDefault="006566A1" w:rsidP="006566A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8D791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8.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при планировании на сутки вперед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не был учтен изолированный режим, не был учтен 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режим острова нагрузки и от СО получена информация о возникновении режима острова нагрузки, расчет отклонений осущест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вляется в соответствии с пунктами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2</w:t>
            </w:r>
            <w:r w:rsidRPr="008D791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.4.7.1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и 2.4.7.2 настоящего Регламента.</w:t>
            </w:r>
          </w:p>
          <w:p w14:paraId="0179CFDC" w14:textId="77777777" w:rsidR="006566A1" w:rsidRPr="008D791B" w:rsidRDefault="006566A1" w:rsidP="006566A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8D791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9.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при планировании на сутки вперед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не был учтен изолированный режим, не был учтен 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режим острова нагрузки, от СО не получена информация о возникновении режима острова нагрузки </w:t>
            </w:r>
            <w:proofErr w:type="gramStart"/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≤0</m:t>
              </m:r>
            </m:oMath>
            <w:r w:rsidRPr="003A7CD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proofErr w:type="gramEnd"/>
            <w:r w:rsidRPr="003A7CD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3A7CD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расчет отклонений осуществляется следующим </w:t>
            </w:r>
            <w:r w:rsidRPr="008D791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образом:</w:t>
            </w:r>
          </w:p>
          <w:p w14:paraId="3927E4D8" w14:textId="77777777" w:rsidR="006566A1" w:rsidRPr="008D791B" w:rsidRDefault="006566A1" w:rsidP="006566A1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w:lastRenderedPageBreak/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Pr="008D791B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A82F59B" w14:textId="77777777" w:rsidR="006566A1" w:rsidRDefault="006566A1" w:rsidP="006566A1">
            <w:pPr>
              <w:widowControl w:val="0"/>
              <w:spacing w:before="120" w:after="120"/>
              <w:ind w:firstLine="68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0</m:t>
              </m:r>
            </m:oMath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FB16C56" w14:textId="1D151706" w:rsidR="00DC7B20" w:rsidRPr="0027222C" w:rsidRDefault="006566A1" w:rsidP="006566A1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3A7CDB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случае если в отношении указанных ГТП определены объемы </w:t>
            </w:r>
            <w:proofErr w:type="gramStart"/>
            <w:r w:rsidRPr="003A7CDB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</m:oMath>
            <w:r w:rsidRPr="003A7CDB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и</w:t>
            </w:r>
            <w:proofErr w:type="gramEnd"/>
            <w:r w:rsidRPr="003A7CDB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</m:oMath>
            <w:r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 К</w:t>
            </w:r>
            <w:r w:rsidRPr="003A7CDB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оммерческий оператор принимает объемы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</m:oMath>
            <w:r w:rsidRPr="003A7CDB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</m:oMath>
            <w:r w:rsidRPr="003A7CDB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равными нулю.</w:t>
            </w:r>
          </w:p>
        </w:tc>
      </w:tr>
      <w:tr w:rsidR="008D7288" w:rsidRPr="002B5432" w14:paraId="4477B1B8" w14:textId="77777777" w:rsidTr="008D7288">
        <w:trPr>
          <w:trHeight w:val="350"/>
        </w:trPr>
        <w:tc>
          <w:tcPr>
            <w:tcW w:w="1440" w:type="dxa"/>
          </w:tcPr>
          <w:p w14:paraId="5032EF25" w14:textId="77777777" w:rsidR="008D7288" w:rsidRDefault="008D7288" w:rsidP="002478CA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8D7288">
              <w:rPr>
                <w:rFonts w:ascii="Garamond" w:hAnsi="Garamond"/>
                <w:b/>
                <w:sz w:val="22"/>
                <w:szCs w:val="22"/>
              </w:rPr>
              <w:lastRenderedPageBreak/>
              <w:t>4.4.1.11</w:t>
            </w:r>
          </w:p>
        </w:tc>
        <w:tc>
          <w:tcPr>
            <w:tcW w:w="6300" w:type="dxa"/>
          </w:tcPr>
          <w:p w14:paraId="4D0D459E" w14:textId="77777777" w:rsidR="008D7288" w:rsidRPr="008D7288" w:rsidRDefault="008D7288" w:rsidP="007E4D25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t xml:space="preserve">Для ГТП импорта, зарегистрированной на сечении экспорта-импорта, по которому осуществляется энергоснабжение энергорайона на территории Омской области или Курганской области, не имеющего электрических связей с ЕЭС России и работающего параллельно с зарубежной энергосистемой или ее частью, ставка, применяемая для определения расчетных показателей стоимости составляющей величины отклонения по собственной инициативе </w:t>
            </w:r>
            <w:r w:rsidRPr="003A2DB5">
              <w:rPr>
                <w:rFonts w:ascii="Garamond" w:hAnsi="Garamond"/>
                <w:sz w:val="22"/>
                <w:szCs w:val="22"/>
                <w:lang w:eastAsia="en-US"/>
              </w:rPr>
              <w:t xml:space="preserve">в сторону снижения, </w:t>
            </w:r>
            <w:r w:rsidRPr="008D728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обусловленная поставкой в энергорайон</w:t>
            </w: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t xml:space="preserve"> на территории Омской области или Курганской области, не имеющий электрических связей с ЕЭС России и работающий параллельно с зарубежной энергосистемой или ее частью, определяется на каждый час расчетного периода как:</w:t>
            </w:r>
          </w:p>
          <w:p w14:paraId="11349CD0" w14:textId="77777777" w:rsidR="008D7288" w:rsidRPr="008D7288" w:rsidRDefault="008D7288" w:rsidP="007E4D25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7288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359" w:dyaOrig="400" w14:anchorId="7FE1E313">
                <v:shape id="_x0000_i1030" type="#_x0000_t75" style="width:66pt;height:24pt" o:ole="">
                  <v:imagedata r:id="rId16" o:title=""/>
                </v:shape>
                <o:OLEObject Type="Embed" ProgID="Equation.3" ShapeID="_x0000_i1030" DrawAspect="Content" ObjectID="_1691382114" r:id="rId17"/>
              </w:object>
            </w: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39CF5919" w14:textId="7117768D" w:rsidR="008D7288" w:rsidRPr="00A95B9A" w:rsidRDefault="008D7288" w:rsidP="007E4D25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8D7288">
              <w:rPr>
                <w:rFonts w:ascii="Garamond" w:hAnsi="Garamond"/>
                <w:color w:val="000000"/>
                <w:position w:val="-14"/>
                <w:sz w:val="22"/>
                <w:szCs w:val="20"/>
                <w:lang w:val="en-GB" w:eastAsia="en-US"/>
              </w:rPr>
              <w:object w:dxaOrig="360" w:dyaOrig="400" w14:anchorId="17D15401">
                <v:shape id="_x0000_i1031" type="#_x0000_t75" style="width:18pt;height:18pt" o:ole="">
                  <v:imagedata r:id="rId18" o:title=""/>
                </v:shape>
                <o:OLEObject Type="Embed" ProgID="Equation.3" ShapeID="_x0000_i1031" DrawAspect="Content" ObjectID="_1691382115" r:id="rId19"/>
              </w:object>
            </w:r>
            <w:r w:rsidRPr="008D7288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 xml:space="preserve"> 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―</w:t>
            </w:r>
            <w:r w:rsidRPr="008D7288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цена, заявленная участником оптового рынка, осуществляющим экспортно-импортные операции в целях поставки электроэнергии в </w:t>
            </w:r>
            <w:proofErr w:type="spellStart"/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энергорайон</w:t>
            </w:r>
            <w:proofErr w:type="spellEnd"/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на территории Омской области или Курганской области, не имеющий электрических связей с ЕЭС России и работающий параллельно с зарубежной энергосистемой или ее частью, в соответствии с п. 11.5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D7288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8D7288" w:rsidDel="009C763D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(Приложение № 15 к </w:t>
            </w:r>
            <w:r w:rsidRPr="008D7288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). В случае отсутствия цены, заявленной в установленном порядке, в качестве цены по сечению экспорта-импорта, по которому осуществляется поставка электрической энергии в данный энергорайон</w:t>
            </w: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t xml:space="preserve">, используется средневзвешенная равновесная цена на электрическую энергию по субъекту </w:t>
            </w: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Российской Федерации для покупки в целях компенсации потерь электрической энергии,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определенная для </w:t>
            </w: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t>данного часа,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</w:t>
            </w: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t xml:space="preserve">соответствии с 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п. 5.4 </w:t>
            </w:r>
            <w:r w:rsidRPr="008D7288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 8 к </w:t>
            </w:r>
            <w:r w:rsidRPr="008D7288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7020" w:type="dxa"/>
          </w:tcPr>
          <w:p w14:paraId="6299F929" w14:textId="77777777" w:rsidR="008D7288" w:rsidRPr="008D7288" w:rsidRDefault="008D7288" w:rsidP="007E4D25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Для ГТП импорта, зарегистрированной на сечении экспорта-импорта, по которому осуществляется энергоснабжение энергорайона на территории Омской области или Курганской области, не имеющего электрических связей с ЕЭС России и работающего параллельно с зарубежной энергосистемой или ее частью, ставка, применяемая для определения расчетных показателей стоимости составляющей величины отклонения по собственной инициативе в сторону снижения, </w:t>
            </w:r>
            <w:r w:rsidRPr="008D728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обусловленн</w:t>
            </w:r>
            <w:r w:rsidR="00653F5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ого</w:t>
            </w:r>
            <w:r w:rsidR="00653F5A" w:rsidRPr="00653F5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особы</w:t>
            </w:r>
            <w:r w:rsidR="00653F5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м</w:t>
            </w:r>
            <w:r w:rsidR="00653F5A" w:rsidRPr="00653F5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режим</w:t>
            </w:r>
            <w:r w:rsidR="00653F5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ом</w:t>
            </w:r>
            <w:r w:rsidR="00653F5A" w:rsidRPr="00653F5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поставки электроэнергии в отдельны</w:t>
            </w:r>
            <w:r w:rsidR="00653F5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й</w:t>
            </w:r>
            <w:r w:rsidR="00653F5A" w:rsidRPr="00653F5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энергорайон</w:t>
            </w: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t xml:space="preserve"> на территории Омской области или Курганской области, не имеющий электрических связей с ЕЭС России и работающий параллельно с зарубежной энергосистемой или ее частью, определяется на каждый час расчетного периода как:</w:t>
            </w:r>
          </w:p>
          <w:p w14:paraId="47F87502" w14:textId="77777777" w:rsidR="008D7288" w:rsidRPr="008D7288" w:rsidRDefault="008D7288" w:rsidP="007E4D25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7288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359" w:dyaOrig="400" w14:anchorId="549066D4">
                <v:shape id="_x0000_i1032" type="#_x0000_t75" style="width:66pt;height:24pt" o:ole="">
                  <v:imagedata r:id="rId16" o:title=""/>
                </v:shape>
                <o:OLEObject Type="Embed" ProgID="Equation.3" ShapeID="_x0000_i1032" DrawAspect="Content" ObjectID="_1691382116" r:id="rId20"/>
              </w:object>
            </w: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21ADA2C6" w14:textId="77777777" w:rsidR="008D7288" w:rsidRPr="008D7288" w:rsidRDefault="008D7288" w:rsidP="007E4D25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8D7288">
              <w:rPr>
                <w:rFonts w:ascii="Garamond" w:hAnsi="Garamond"/>
                <w:color w:val="000000"/>
                <w:position w:val="-14"/>
                <w:sz w:val="22"/>
                <w:szCs w:val="20"/>
                <w:lang w:val="en-GB" w:eastAsia="en-US"/>
              </w:rPr>
              <w:object w:dxaOrig="360" w:dyaOrig="400" w14:anchorId="42C5C342">
                <v:shape id="_x0000_i1033" type="#_x0000_t75" style="width:18pt;height:18pt" o:ole="">
                  <v:imagedata r:id="rId18" o:title=""/>
                </v:shape>
                <o:OLEObject Type="Embed" ProgID="Equation.3" ShapeID="_x0000_i1033" DrawAspect="Content" ObjectID="_1691382117" r:id="rId21"/>
              </w:object>
            </w:r>
            <w:r w:rsidRPr="008D7288"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 xml:space="preserve"> 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―</w:t>
            </w:r>
            <w:r w:rsidRPr="008D7288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цена, заявленная участником оптового рынка, осуществляющим экспортно-импортные операции в целях поставки электроэнергии в </w:t>
            </w:r>
            <w:proofErr w:type="spellStart"/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энергорайон</w:t>
            </w:r>
            <w:proofErr w:type="spellEnd"/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на территории Омской области или Курганской области, не имеющий электрических связей с ЕЭС России и работающий параллельно с зарубежной энергосистемой или ее частью, в соответствии с п. 11.5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D7288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8D7288" w:rsidDel="009C763D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(Приложение № 15 к </w:t>
            </w:r>
            <w:r w:rsidRPr="008D7288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). В случае отсутствия цены, заявленной в установленном порядке, в качестве цены по сечению экспорта-импорта, по которому осуществляется поставка электрической энергии в данный энергорайон</w:t>
            </w: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t>, используется средневзвешенная равновесная цена на электрическую энергию по субъекту Российской Федерации для покупки в целях компенсации потерь электрической энергии,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определенная для </w:t>
            </w: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t>данного часа,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</w:t>
            </w:r>
            <w:r w:rsidRPr="008D7288">
              <w:rPr>
                <w:rFonts w:ascii="Garamond" w:hAnsi="Garamond"/>
                <w:sz w:val="22"/>
                <w:szCs w:val="22"/>
                <w:lang w:eastAsia="en-US"/>
              </w:rPr>
              <w:t xml:space="preserve">соответствии с 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п. 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 xml:space="preserve">5.4 </w:t>
            </w:r>
            <w:r w:rsidRPr="008D7288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 8 к </w:t>
            </w:r>
            <w:r w:rsidRPr="008D7288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8D7288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).</w:t>
            </w:r>
          </w:p>
          <w:p w14:paraId="1D4A3FA0" w14:textId="77777777" w:rsidR="008D7288" w:rsidRDefault="008D7288" w:rsidP="007E4D25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ind w:left="851" w:hanging="851"/>
              <w:jc w:val="both"/>
              <w:outlineLvl w:val="3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</w:p>
        </w:tc>
      </w:tr>
    </w:tbl>
    <w:p w14:paraId="2E2BD83B" w14:textId="21CF3062" w:rsidR="008D7288" w:rsidRDefault="008D7288"/>
    <w:p w14:paraId="247FDC4C" w14:textId="77777777" w:rsidR="00C563B6" w:rsidRDefault="00C563B6"/>
    <w:sectPr w:rsidR="00C563B6" w:rsidSect="00AA1EFE">
      <w:footerReference w:type="default" r:id="rId22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95121" w14:textId="77777777" w:rsidR="00C54E9A" w:rsidRDefault="00C54E9A" w:rsidP="007D343D">
      <w:r>
        <w:separator/>
      </w:r>
    </w:p>
  </w:endnote>
  <w:endnote w:type="continuationSeparator" w:id="0">
    <w:p w14:paraId="63192ACE" w14:textId="77777777" w:rsidR="00C54E9A" w:rsidRDefault="00C54E9A" w:rsidP="007D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8173247"/>
      <w:docPartObj>
        <w:docPartGallery w:val="Page Numbers (Bottom of Page)"/>
        <w:docPartUnique/>
      </w:docPartObj>
    </w:sdtPr>
    <w:sdtEndPr/>
    <w:sdtContent>
      <w:p w14:paraId="3D4C0D0A" w14:textId="4AA99ABC" w:rsidR="007D343D" w:rsidRDefault="007D34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183">
          <w:rPr>
            <w:noProof/>
          </w:rPr>
          <w:t>5</w:t>
        </w:r>
        <w:r>
          <w:fldChar w:fldCharType="end"/>
        </w:r>
      </w:p>
    </w:sdtContent>
  </w:sdt>
  <w:p w14:paraId="299D1446" w14:textId="77777777" w:rsidR="007D343D" w:rsidRDefault="007D34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D9C30" w14:textId="77777777" w:rsidR="00C54E9A" w:rsidRDefault="00C54E9A" w:rsidP="007D343D">
      <w:r>
        <w:separator/>
      </w:r>
    </w:p>
  </w:footnote>
  <w:footnote w:type="continuationSeparator" w:id="0">
    <w:p w14:paraId="4E47E92A" w14:textId="77777777" w:rsidR="00C54E9A" w:rsidRDefault="00C54E9A" w:rsidP="007D3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DC32A8"/>
    <w:multiLevelType w:val="hybridMultilevel"/>
    <w:tmpl w:val="19B2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5015E"/>
    <w:multiLevelType w:val="hybridMultilevel"/>
    <w:tmpl w:val="44A6E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8211A"/>
    <w:multiLevelType w:val="hybridMultilevel"/>
    <w:tmpl w:val="3D78B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54EC6"/>
    <w:multiLevelType w:val="hybridMultilevel"/>
    <w:tmpl w:val="6FE62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45939"/>
    <w:multiLevelType w:val="hybridMultilevel"/>
    <w:tmpl w:val="67F45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51E1D"/>
    <w:multiLevelType w:val="hybridMultilevel"/>
    <w:tmpl w:val="470034E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2603DD"/>
    <w:multiLevelType w:val="hybridMultilevel"/>
    <w:tmpl w:val="C1D23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168BD"/>
    <w:multiLevelType w:val="hybridMultilevel"/>
    <w:tmpl w:val="CB2263B8"/>
    <w:lvl w:ilvl="0" w:tplc="E848C13A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586A10F3"/>
    <w:multiLevelType w:val="hybridMultilevel"/>
    <w:tmpl w:val="D8AE4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D2639"/>
    <w:multiLevelType w:val="hybridMultilevel"/>
    <w:tmpl w:val="2B605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A2525"/>
    <w:multiLevelType w:val="hybridMultilevel"/>
    <w:tmpl w:val="6E869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9"/>
  </w:num>
  <w:num w:numId="6">
    <w:abstractNumId w:val="4"/>
  </w:num>
  <w:num w:numId="7">
    <w:abstractNumId w:val="2"/>
  </w:num>
  <w:num w:numId="8">
    <w:abstractNumId w:val="10"/>
  </w:num>
  <w:num w:numId="9">
    <w:abstractNumId w:val="1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01094"/>
    <w:rsid w:val="000214D2"/>
    <w:rsid w:val="000C6E77"/>
    <w:rsid w:val="000E2A23"/>
    <w:rsid w:val="000E7B3C"/>
    <w:rsid w:val="00111A20"/>
    <w:rsid w:val="00182BC2"/>
    <w:rsid w:val="001E2414"/>
    <w:rsid w:val="002478CA"/>
    <w:rsid w:val="00247FF4"/>
    <w:rsid w:val="002548C1"/>
    <w:rsid w:val="0027222C"/>
    <w:rsid w:val="002844F3"/>
    <w:rsid w:val="00321144"/>
    <w:rsid w:val="00331183"/>
    <w:rsid w:val="003778C6"/>
    <w:rsid w:val="003830FF"/>
    <w:rsid w:val="003837D0"/>
    <w:rsid w:val="0039689C"/>
    <w:rsid w:val="003A1AC4"/>
    <w:rsid w:val="003A2DB5"/>
    <w:rsid w:val="003A7CDB"/>
    <w:rsid w:val="003D2244"/>
    <w:rsid w:val="003D57F8"/>
    <w:rsid w:val="003D79D1"/>
    <w:rsid w:val="003E2BA4"/>
    <w:rsid w:val="00442A15"/>
    <w:rsid w:val="00462B14"/>
    <w:rsid w:val="004F0665"/>
    <w:rsid w:val="004F23AF"/>
    <w:rsid w:val="004F6635"/>
    <w:rsid w:val="004F7FF2"/>
    <w:rsid w:val="00503F73"/>
    <w:rsid w:val="00523FC4"/>
    <w:rsid w:val="00526C79"/>
    <w:rsid w:val="00552A40"/>
    <w:rsid w:val="0056268C"/>
    <w:rsid w:val="00565AC0"/>
    <w:rsid w:val="00583D5E"/>
    <w:rsid w:val="005B43B6"/>
    <w:rsid w:val="005C3923"/>
    <w:rsid w:val="00653F5A"/>
    <w:rsid w:val="006566A1"/>
    <w:rsid w:val="00661105"/>
    <w:rsid w:val="00685E7E"/>
    <w:rsid w:val="00696BD0"/>
    <w:rsid w:val="006A5A72"/>
    <w:rsid w:val="006E355B"/>
    <w:rsid w:val="00745AF8"/>
    <w:rsid w:val="007473A1"/>
    <w:rsid w:val="007A3349"/>
    <w:rsid w:val="007D343D"/>
    <w:rsid w:val="007E4D25"/>
    <w:rsid w:val="007F3033"/>
    <w:rsid w:val="00814F33"/>
    <w:rsid w:val="008208FA"/>
    <w:rsid w:val="00830781"/>
    <w:rsid w:val="00854677"/>
    <w:rsid w:val="00854B50"/>
    <w:rsid w:val="008D7288"/>
    <w:rsid w:val="009428E6"/>
    <w:rsid w:val="009439C5"/>
    <w:rsid w:val="00963F74"/>
    <w:rsid w:val="00971A9E"/>
    <w:rsid w:val="009A15C8"/>
    <w:rsid w:val="009B4A77"/>
    <w:rsid w:val="00A27025"/>
    <w:rsid w:val="00A50006"/>
    <w:rsid w:val="00A95B9A"/>
    <w:rsid w:val="00AA1EFE"/>
    <w:rsid w:val="00AC2B11"/>
    <w:rsid w:val="00AC2D42"/>
    <w:rsid w:val="00B11EE0"/>
    <w:rsid w:val="00B5219D"/>
    <w:rsid w:val="00BA640F"/>
    <w:rsid w:val="00BA7A05"/>
    <w:rsid w:val="00BC2F9C"/>
    <w:rsid w:val="00C440F9"/>
    <w:rsid w:val="00C54E9A"/>
    <w:rsid w:val="00C563B6"/>
    <w:rsid w:val="00C66EAE"/>
    <w:rsid w:val="00C67837"/>
    <w:rsid w:val="00C903BD"/>
    <w:rsid w:val="00D00720"/>
    <w:rsid w:val="00D1340E"/>
    <w:rsid w:val="00D34CB6"/>
    <w:rsid w:val="00D37E02"/>
    <w:rsid w:val="00D45CB5"/>
    <w:rsid w:val="00D608FE"/>
    <w:rsid w:val="00DB5C21"/>
    <w:rsid w:val="00DC7B20"/>
    <w:rsid w:val="00DE03F5"/>
    <w:rsid w:val="00E51BBD"/>
    <w:rsid w:val="00EA069A"/>
    <w:rsid w:val="00EE1DAB"/>
    <w:rsid w:val="00F12B98"/>
    <w:rsid w:val="00F3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4EB34357"/>
  <w15:docId w15:val="{632A9D68-2232-4B56-948D-407DE703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20">
    <w:name w:val="heading 2"/>
    <w:aliases w:val="h2,h21,Заголовок пункта (1.1),5,Reset numbering,222"/>
    <w:basedOn w:val="a"/>
    <w:next w:val="a"/>
    <w:link w:val="21"/>
    <w:uiPriority w:val="99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9B4A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semiHidden/>
    <w:unhideWhenUsed/>
    <w:qFormat/>
    <w:rsid w:val="000C6E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character" w:customStyle="1" w:styleId="40">
    <w:name w:val="Заголовок 4 Знак"/>
    <w:basedOn w:val="a0"/>
    <w:link w:val="4"/>
    <w:semiHidden/>
    <w:rsid w:val="000C6E7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0"/>
    <w:link w:val="20"/>
    <w:uiPriority w:val="99"/>
    <w:rsid w:val="000C6E77"/>
    <w:rPr>
      <w:b/>
      <w:bCs/>
    </w:rPr>
  </w:style>
  <w:style w:type="paragraph" w:styleId="a3">
    <w:name w:val="header"/>
    <w:basedOn w:val="a"/>
    <w:link w:val="a4"/>
    <w:unhideWhenUsed/>
    <w:rsid w:val="007D34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D343D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D34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343D"/>
    <w:rPr>
      <w:sz w:val="24"/>
      <w:szCs w:val="24"/>
    </w:rPr>
  </w:style>
  <w:style w:type="character" w:styleId="a7">
    <w:name w:val="annotation reference"/>
    <w:basedOn w:val="a0"/>
    <w:semiHidden/>
    <w:unhideWhenUsed/>
    <w:rsid w:val="006E355B"/>
    <w:rPr>
      <w:sz w:val="16"/>
      <w:szCs w:val="16"/>
    </w:rPr>
  </w:style>
  <w:style w:type="paragraph" w:styleId="a8">
    <w:name w:val="annotation text"/>
    <w:basedOn w:val="a"/>
    <w:link w:val="a9"/>
    <w:semiHidden/>
    <w:unhideWhenUsed/>
    <w:rsid w:val="006E355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6E355B"/>
  </w:style>
  <w:style w:type="paragraph" w:styleId="aa">
    <w:name w:val="annotation subject"/>
    <w:basedOn w:val="a8"/>
    <w:next w:val="a8"/>
    <w:link w:val="ab"/>
    <w:semiHidden/>
    <w:unhideWhenUsed/>
    <w:rsid w:val="006E355B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6E355B"/>
    <w:rPr>
      <w:b/>
      <w:bCs/>
    </w:rPr>
  </w:style>
  <w:style w:type="paragraph" w:styleId="ac">
    <w:name w:val="Balloon Text"/>
    <w:basedOn w:val="a"/>
    <w:link w:val="ad"/>
    <w:semiHidden/>
    <w:unhideWhenUsed/>
    <w:rsid w:val="006E355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6E355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9B4A7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e">
    <w:name w:val="List Paragraph"/>
    <w:basedOn w:val="a"/>
    <w:uiPriority w:val="34"/>
    <w:qFormat/>
    <w:rsid w:val="00462B14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DC7B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5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1629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Гирина Марина Владимировна</cp:lastModifiedBy>
  <cp:revision>37</cp:revision>
  <dcterms:created xsi:type="dcterms:W3CDTF">2021-07-15T07:04:00Z</dcterms:created>
  <dcterms:modified xsi:type="dcterms:W3CDTF">2021-08-24T13:02:00Z</dcterms:modified>
</cp:coreProperties>
</file>