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E75A7" w14:textId="150D1172" w:rsidR="00310A72" w:rsidRDefault="00153036" w:rsidP="0084293B">
      <w:pPr>
        <w:spacing w:after="0" w:line="240" w:lineRule="auto"/>
        <w:rPr>
          <w:rFonts w:ascii="Garamond" w:hAnsi="Garamond"/>
          <w:b/>
          <w:sz w:val="28"/>
          <w:szCs w:val="28"/>
        </w:rPr>
      </w:pPr>
      <w:bookmarkStart w:id="0" w:name="_Toc101261834"/>
      <w:bookmarkStart w:id="1" w:name="_Toc101672096"/>
      <w:bookmarkStart w:id="2" w:name="_Toc103055809"/>
      <w:bookmarkStart w:id="3" w:name="_Toc105228112"/>
      <w:bookmarkStart w:id="4" w:name="_Toc107045995"/>
      <w:r>
        <w:rPr>
          <w:rFonts w:ascii="Garamond" w:hAnsi="Garamond"/>
          <w:b/>
          <w:sz w:val="28"/>
          <w:szCs w:val="28"/>
          <w:lang w:val="en-US"/>
        </w:rPr>
        <w:t>VI</w:t>
      </w:r>
      <w:r w:rsidRPr="00A06FC9">
        <w:rPr>
          <w:rFonts w:ascii="Garamond" w:hAnsi="Garamond"/>
          <w:b/>
          <w:sz w:val="28"/>
          <w:szCs w:val="28"/>
        </w:rPr>
        <w:t>.8</w:t>
      </w:r>
      <w:r w:rsidR="000236A0">
        <w:rPr>
          <w:rFonts w:ascii="Garamond" w:hAnsi="Garamond"/>
          <w:b/>
          <w:sz w:val="28"/>
          <w:szCs w:val="28"/>
        </w:rPr>
        <w:t>.</w:t>
      </w:r>
      <w:r w:rsidRPr="00A06FC9">
        <w:rPr>
          <w:rFonts w:ascii="Garamond" w:hAnsi="Garamond"/>
          <w:b/>
          <w:sz w:val="28"/>
          <w:szCs w:val="28"/>
        </w:rPr>
        <w:t xml:space="preserve"> </w:t>
      </w:r>
      <w:r w:rsidR="00310A72" w:rsidRPr="006A1356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310A72">
        <w:rPr>
          <w:rFonts w:ascii="Garamond" w:hAnsi="Garamond"/>
          <w:b/>
          <w:sz w:val="28"/>
          <w:szCs w:val="28"/>
        </w:rPr>
        <w:t>корректировкой схемы прикрепления по</w:t>
      </w:r>
      <w:r w:rsidR="00310A72" w:rsidRPr="003761E6">
        <w:rPr>
          <w:rFonts w:ascii="Garamond" w:hAnsi="Garamond"/>
          <w:b/>
          <w:sz w:val="28"/>
          <w:szCs w:val="28"/>
        </w:rPr>
        <w:t xml:space="preserve"> </w:t>
      </w:r>
      <w:r w:rsidR="00310A72" w:rsidRPr="00BD1CD1">
        <w:rPr>
          <w:rFonts w:ascii="Garamond" w:hAnsi="Garamond"/>
          <w:b/>
          <w:sz w:val="28"/>
          <w:szCs w:val="28"/>
        </w:rPr>
        <w:t>регулируемы</w:t>
      </w:r>
      <w:r w:rsidR="00310A72">
        <w:rPr>
          <w:rFonts w:ascii="Garamond" w:hAnsi="Garamond"/>
          <w:b/>
          <w:sz w:val="28"/>
          <w:szCs w:val="28"/>
        </w:rPr>
        <w:t>м</w:t>
      </w:r>
      <w:r w:rsidR="00310A72" w:rsidRPr="00BD1CD1">
        <w:rPr>
          <w:rFonts w:ascii="Garamond" w:hAnsi="Garamond"/>
          <w:b/>
          <w:sz w:val="28"/>
          <w:szCs w:val="28"/>
        </w:rPr>
        <w:t xml:space="preserve"> договор</w:t>
      </w:r>
      <w:r w:rsidR="00310A72">
        <w:rPr>
          <w:rFonts w:ascii="Garamond" w:hAnsi="Garamond"/>
          <w:b/>
          <w:sz w:val="28"/>
          <w:szCs w:val="28"/>
        </w:rPr>
        <w:t>ам</w:t>
      </w:r>
    </w:p>
    <w:p w14:paraId="17146E9F" w14:textId="77777777" w:rsidR="00310A72" w:rsidRDefault="00310A72" w:rsidP="0084293B">
      <w:pPr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05E49345" w14:textId="34802FFA" w:rsidR="00310A72" w:rsidRPr="00420B69" w:rsidRDefault="00310A72" w:rsidP="0084293B">
      <w:pPr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6A1356">
        <w:rPr>
          <w:rFonts w:ascii="Garamond" w:hAnsi="Garamond"/>
          <w:b/>
          <w:sz w:val="28"/>
          <w:szCs w:val="28"/>
        </w:rPr>
        <w:t xml:space="preserve">Приложение № </w:t>
      </w:r>
      <w:r w:rsidR="00153036" w:rsidRPr="00420B69">
        <w:rPr>
          <w:rFonts w:ascii="Garamond" w:hAnsi="Garamond"/>
          <w:b/>
          <w:sz w:val="28"/>
          <w:szCs w:val="28"/>
        </w:rPr>
        <w:t>6.8</w:t>
      </w:r>
    </w:p>
    <w:p w14:paraId="2CF278D0" w14:textId="77777777" w:rsidR="00310A72" w:rsidRPr="006A1356" w:rsidRDefault="00310A72" w:rsidP="0084293B">
      <w:pPr>
        <w:widowControl w:val="0"/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310A72" w:rsidRPr="006A1356" w14:paraId="5FC948B6" w14:textId="77777777" w:rsidTr="00832E82">
        <w:trPr>
          <w:trHeight w:val="928"/>
        </w:trPr>
        <w:tc>
          <w:tcPr>
            <w:tcW w:w="14879" w:type="dxa"/>
          </w:tcPr>
          <w:p w14:paraId="6D11869F" w14:textId="77777777" w:rsidR="00310A72" w:rsidRPr="006A1356" w:rsidRDefault="00310A72" w:rsidP="0084293B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1E5B4E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54667167" w14:textId="54F84FCB" w:rsidR="00310A72" w:rsidRDefault="00310A72" w:rsidP="0084293B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A1356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CF1032">
              <w:rPr>
                <w:rFonts w:ascii="Garamond" w:hAnsi="Garamond"/>
                <w:sz w:val="24"/>
                <w:szCs w:val="24"/>
              </w:rPr>
              <w:t>с</w:t>
            </w:r>
            <w:r>
              <w:rPr>
                <w:rFonts w:ascii="Garamond" w:hAnsi="Garamond"/>
                <w:sz w:val="24"/>
                <w:szCs w:val="24"/>
              </w:rPr>
              <w:t xml:space="preserve">огласно п. 281 Правил </w:t>
            </w:r>
            <w:r w:rsidRPr="00DF5958">
              <w:rPr>
                <w:rFonts w:ascii="Garamond" w:hAnsi="Garamond"/>
                <w:sz w:val="24"/>
                <w:szCs w:val="24"/>
              </w:rPr>
              <w:t>оптового рынка</w:t>
            </w:r>
            <w:r>
              <w:rPr>
                <w:rFonts w:ascii="Garamond" w:hAnsi="Garamond"/>
                <w:sz w:val="24"/>
                <w:szCs w:val="24"/>
              </w:rPr>
              <w:t xml:space="preserve"> электрической энергии и мощности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, утвержденных </w:t>
            </w:r>
            <w:r w:rsidR="00CF1032">
              <w:rPr>
                <w:rFonts w:ascii="Garamond" w:hAnsi="Garamond"/>
                <w:sz w:val="24"/>
                <w:szCs w:val="24"/>
              </w:rPr>
              <w:t>п</w:t>
            </w:r>
            <w:r w:rsidRPr="00DF5958">
              <w:rPr>
                <w:rFonts w:ascii="Garamond" w:hAnsi="Garamond"/>
                <w:sz w:val="24"/>
                <w:szCs w:val="24"/>
              </w:rPr>
              <w:t>остановлением Правительства Российской Федерации от 27.12.2010 № 1172</w:t>
            </w:r>
            <w:r>
              <w:rPr>
                <w:rFonts w:ascii="Garamond" w:hAnsi="Garamond"/>
                <w:sz w:val="24"/>
                <w:szCs w:val="24"/>
              </w:rPr>
              <w:t>, н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ачало периода поставки мощности </w:t>
            </w:r>
            <w:r>
              <w:rPr>
                <w:rFonts w:ascii="Garamond" w:hAnsi="Garamond"/>
                <w:sz w:val="24"/>
                <w:szCs w:val="24"/>
              </w:rPr>
              <w:t xml:space="preserve">по договорам на модернизацию может быть изменено </w:t>
            </w:r>
            <w:r w:rsidRPr="00DF5958">
              <w:rPr>
                <w:rFonts w:ascii="Garamond" w:hAnsi="Garamond"/>
                <w:sz w:val="24"/>
                <w:szCs w:val="24"/>
              </w:rPr>
              <w:t>по инициативе поставщика на более раннюю дату в связи с уменьшением длительности периода реализации проекта модернизации</w:t>
            </w:r>
            <w:r>
              <w:rPr>
                <w:rFonts w:ascii="Garamond" w:hAnsi="Garamond"/>
                <w:sz w:val="24"/>
                <w:szCs w:val="24"/>
              </w:rPr>
              <w:t xml:space="preserve">. При этом поставщик должен получить право на участие в торговле 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электрической энергией и мощностью </w:t>
            </w:r>
            <w:r>
              <w:rPr>
                <w:rFonts w:ascii="Garamond" w:hAnsi="Garamond"/>
                <w:sz w:val="24"/>
                <w:szCs w:val="24"/>
              </w:rPr>
              <w:t xml:space="preserve">в отношении ГТП генерации, 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сформированной </w:t>
            </w:r>
            <w:r>
              <w:rPr>
                <w:rFonts w:ascii="Garamond" w:hAnsi="Garamond"/>
                <w:sz w:val="24"/>
                <w:szCs w:val="24"/>
              </w:rPr>
              <w:t>для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 генерирующего оборудов</w:t>
            </w:r>
            <w:r>
              <w:rPr>
                <w:rFonts w:ascii="Garamond" w:hAnsi="Garamond"/>
                <w:sz w:val="24"/>
                <w:szCs w:val="24"/>
              </w:rPr>
              <w:t>ания КОММод, функционирующего после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 реализации мероприятий по модернизации</w:t>
            </w:r>
            <w:r>
              <w:rPr>
                <w:rFonts w:ascii="Garamond" w:hAnsi="Garamond"/>
                <w:sz w:val="24"/>
                <w:szCs w:val="24"/>
              </w:rPr>
              <w:t xml:space="preserve"> (новая ГТП), с одновременным лишением права на участие в торговле 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электрической энергией и мощностью </w:t>
            </w:r>
            <w:r>
              <w:rPr>
                <w:rFonts w:ascii="Garamond" w:hAnsi="Garamond"/>
                <w:sz w:val="24"/>
                <w:szCs w:val="24"/>
              </w:rPr>
              <w:t xml:space="preserve">в отношении 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ГТП генерации, сформированной </w:t>
            </w:r>
            <w:r>
              <w:rPr>
                <w:rFonts w:ascii="Garamond" w:hAnsi="Garamond"/>
                <w:sz w:val="24"/>
                <w:szCs w:val="24"/>
              </w:rPr>
              <w:t>для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 генерирующего оборудования КОММод, функционирующего до реализации мероприятий по модернизации</w:t>
            </w:r>
            <w:r>
              <w:rPr>
                <w:rFonts w:ascii="Garamond" w:hAnsi="Garamond"/>
                <w:sz w:val="24"/>
                <w:szCs w:val="24"/>
              </w:rPr>
              <w:t xml:space="preserve"> (старая ГТП). Однако в случае, если в отношении старой ГТП в </w:t>
            </w:r>
            <w:r w:rsidRPr="006C6D49">
              <w:rPr>
                <w:rFonts w:ascii="Garamond" w:hAnsi="Garamond"/>
                <w:sz w:val="24"/>
                <w:szCs w:val="24"/>
              </w:rPr>
              <w:t xml:space="preserve">сводном прогнозном балансе производства и поставок электрической энергии и (или) мощности в рамках ЕЭС России по субъектам Российской Федерации (прогнозный баланс) </w:t>
            </w:r>
            <w:r>
              <w:rPr>
                <w:rFonts w:ascii="Garamond" w:hAnsi="Garamond"/>
                <w:sz w:val="24"/>
                <w:szCs w:val="24"/>
              </w:rPr>
              <w:t>определены ненулевые объемы поставки электрической энергии и (или) мощности по регулируемым договорам (РД) и заключены такие договоры, то дата, с которой в отношении такой ГТП прекращается право на участие в торговле электрической энергией и мощностью</w:t>
            </w:r>
            <w:r w:rsidR="00F5129A">
              <w:rPr>
                <w:rFonts w:ascii="Garamond" w:hAnsi="Garamond"/>
                <w:sz w:val="24"/>
                <w:szCs w:val="24"/>
              </w:rPr>
              <w:t>,</w:t>
            </w:r>
            <w:r>
              <w:rPr>
                <w:rFonts w:ascii="Garamond" w:hAnsi="Garamond"/>
                <w:sz w:val="24"/>
                <w:szCs w:val="24"/>
              </w:rPr>
              <w:t xml:space="preserve"> не может быть установлена ранее даты прекращения поставки электрической энергии и мощности по РД. В связи с чем необходимо внести изменения в </w:t>
            </w:r>
            <w:r w:rsidRPr="009168A4">
              <w:rPr>
                <w:rFonts w:ascii="Garamond" w:hAnsi="Garamond"/>
                <w:sz w:val="24"/>
                <w:szCs w:val="24"/>
              </w:rPr>
              <w:t>Договор о присоединении к торговой системе оптового рынка</w:t>
            </w:r>
            <w:r>
              <w:rPr>
                <w:rFonts w:ascii="Garamond" w:hAnsi="Garamond"/>
                <w:sz w:val="24"/>
                <w:szCs w:val="24"/>
              </w:rPr>
              <w:t>, устанавливающие соответствующий порядок корректировки схемы прикрепления по РД.</w:t>
            </w:r>
          </w:p>
          <w:p w14:paraId="79196F21" w14:textId="77777777" w:rsidR="00310A72" w:rsidRPr="006A1356" w:rsidRDefault="00310A72" w:rsidP="0084293B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6A1356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161528" w:rsidRPr="00F7738A">
              <w:rPr>
                <w:rFonts w:ascii="Garamond" w:hAnsi="Garamond"/>
                <w:sz w:val="24"/>
                <w:szCs w:val="24"/>
              </w:rPr>
              <w:t>27 марта</w:t>
            </w:r>
            <w:r w:rsidRPr="006A1356">
              <w:rPr>
                <w:rFonts w:ascii="Garamond" w:hAnsi="Garamond"/>
                <w:sz w:val="24"/>
                <w:szCs w:val="24"/>
              </w:rPr>
              <w:t xml:space="preserve"> 202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  <w:r w:rsidRPr="006A1356">
              <w:rPr>
                <w:rFonts w:ascii="Garamond" w:hAnsi="Garamond"/>
                <w:sz w:val="24"/>
                <w:szCs w:val="24"/>
              </w:rPr>
              <w:t xml:space="preserve"> года.</w:t>
            </w:r>
          </w:p>
        </w:tc>
      </w:tr>
    </w:tbl>
    <w:p w14:paraId="47F7548B" w14:textId="77777777" w:rsidR="00310A72" w:rsidRPr="006A1356" w:rsidRDefault="00310A72" w:rsidP="0084293B">
      <w:pPr>
        <w:spacing w:after="0" w:line="240" w:lineRule="auto"/>
      </w:pPr>
    </w:p>
    <w:p w14:paraId="76733DF2" w14:textId="125CA8BD" w:rsidR="00021F7C" w:rsidRDefault="00021F7C" w:rsidP="0084293B">
      <w:pPr>
        <w:pStyle w:val="2"/>
        <w:rPr>
          <w:sz w:val="26"/>
          <w:szCs w:val="26"/>
        </w:rPr>
      </w:pPr>
      <w:bookmarkStart w:id="5" w:name="_Toc154477816"/>
      <w:bookmarkStart w:id="6" w:name="_Toc153797988"/>
      <w:bookmarkStart w:id="7" w:name="_Toc152483184"/>
      <w:bookmarkEnd w:id="0"/>
      <w:bookmarkEnd w:id="1"/>
      <w:bookmarkEnd w:id="2"/>
      <w:bookmarkEnd w:id="3"/>
      <w:bookmarkEnd w:id="4"/>
      <w:r w:rsidRPr="00021F7C">
        <w:rPr>
          <w:sz w:val="26"/>
          <w:szCs w:val="26"/>
        </w:rPr>
        <w:t xml:space="preserve">Предложения по изменениям и дополнениям </w:t>
      </w:r>
      <w:r w:rsidR="003B621C">
        <w:rPr>
          <w:sz w:val="26"/>
          <w:szCs w:val="26"/>
        </w:rPr>
        <w:t>в</w:t>
      </w:r>
      <w:r w:rsidRPr="00021F7C">
        <w:rPr>
          <w:sz w:val="26"/>
          <w:szCs w:val="26"/>
        </w:rPr>
        <w:t xml:space="preserve"> РЕГЛАМЕНТ РЕГИСТРАЦИИ РЕГУЛИРУЕМЫХ ДОГОВОРОВ КУПЛИ-ПРОДАЖИ ЭЛЕКТРОЭНЕРГИИ И МОЩНОСТИ (Приложение № 6.2 к Договору о присоединении к торговой системе оптового рынка)</w:t>
      </w:r>
    </w:p>
    <w:p w14:paraId="07C214BC" w14:textId="390CF1FF" w:rsidR="0084293B" w:rsidRDefault="0084293B" w:rsidP="0084293B">
      <w:pPr>
        <w:spacing w:after="0" w:line="240" w:lineRule="auto"/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7371"/>
      </w:tblGrid>
      <w:tr w:rsidR="0084293B" w:rsidRPr="00516E5D" w14:paraId="72B632DA" w14:textId="77777777" w:rsidTr="0084293B">
        <w:tc>
          <w:tcPr>
            <w:tcW w:w="993" w:type="dxa"/>
            <w:vAlign w:val="center"/>
          </w:tcPr>
          <w:p w14:paraId="2C653CFD" w14:textId="77777777" w:rsidR="0084293B" w:rsidRPr="00516E5D" w:rsidRDefault="0084293B" w:rsidP="0084293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516E5D">
              <w:rPr>
                <w:rFonts w:ascii="Garamond" w:hAnsi="Garamond"/>
                <w:b/>
              </w:rPr>
              <w:t xml:space="preserve">№ </w:t>
            </w:r>
          </w:p>
          <w:p w14:paraId="42E1924D" w14:textId="77777777" w:rsidR="0084293B" w:rsidRPr="00516E5D" w:rsidRDefault="0084293B" w:rsidP="0084293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516E5D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62B65D07" w14:textId="77777777" w:rsidR="0084293B" w:rsidRPr="00516E5D" w:rsidRDefault="0084293B" w:rsidP="0084293B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516E5D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091BB335" w14:textId="77777777" w:rsidR="0084293B" w:rsidRPr="00516E5D" w:rsidRDefault="0084293B" w:rsidP="0084293B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516E5D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06B6ADAE" w14:textId="77777777" w:rsidR="0084293B" w:rsidRPr="00516E5D" w:rsidRDefault="0084293B" w:rsidP="0084293B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516E5D">
              <w:rPr>
                <w:rFonts w:ascii="Garamond" w:hAnsi="Garamond"/>
                <w:b/>
              </w:rPr>
              <w:t>Предлагаемая редакция</w:t>
            </w:r>
          </w:p>
          <w:p w14:paraId="2931B33F" w14:textId="77777777" w:rsidR="0084293B" w:rsidRPr="00516E5D" w:rsidRDefault="0084293B" w:rsidP="0084293B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t>(изменения выделены цветом)</w:t>
            </w:r>
          </w:p>
        </w:tc>
      </w:tr>
      <w:tr w:rsidR="0084293B" w:rsidRPr="00516E5D" w14:paraId="0C3C8486" w14:textId="77777777" w:rsidTr="0084293B">
        <w:trPr>
          <w:trHeight w:val="561"/>
        </w:trPr>
        <w:tc>
          <w:tcPr>
            <w:tcW w:w="993" w:type="dxa"/>
            <w:vAlign w:val="center"/>
          </w:tcPr>
          <w:p w14:paraId="52C9D386" w14:textId="77777777" w:rsidR="0084293B" w:rsidRPr="00516E5D" w:rsidRDefault="0084293B" w:rsidP="001422CA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3.1</w:t>
            </w:r>
          </w:p>
        </w:tc>
        <w:tc>
          <w:tcPr>
            <w:tcW w:w="6520" w:type="dxa"/>
            <w:shd w:val="clear" w:color="auto" w:fill="auto"/>
          </w:tcPr>
          <w:p w14:paraId="23C49F1D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КО для формирования регулируемых договоров купли-продажи электрической энергии и мощности и определения объемов поставки электрической энергии и мощности по регулируемым договорам купли-продажи электрической энергии и мощности осуществляет расчет схемы прикрепления по регулируемым договорам.</w:t>
            </w:r>
          </w:p>
          <w:p w14:paraId="4918D06F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 xml:space="preserve">Схема прикрепления по регулируемым договорам купли-продажи электрической энергии и мощности включает в себя информацию </w:t>
            </w:r>
            <w:r w:rsidRPr="00340A99">
              <w:rPr>
                <w:rFonts w:ascii="Garamond" w:hAnsi="Garamond"/>
              </w:rPr>
              <w:lastRenderedPageBreak/>
              <w:t>обо всех регулируемых договорах купли-продажи электрической энергии и мощности, сформированных на определенный период, а именно в отношении каждого регулируемого договора купли-продажи электрической энергии и мощности:</w:t>
            </w:r>
          </w:p>
          <w:p w14:paraId="5801154E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ГТП покупателя;</w:t>
            </w:r>
          </w:p>
          <w:p w14:paraId="3C9B2927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одна или несколько ГТП продавца;</w:t>
            </w:r>
          </w:p>
          <w:p w14:paraId="27869283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почасовой объем поставки электрической энергии;</w:t>
            </w:r>
          </w:p>
          <w:p w14:paraId="70AF8128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месячный объем поставки мощности.</w:t>
            </w:r>
          </w:p>
          <w:p w14:paraId="17FAC602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ind w:firstLine="604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 xml:space="preserve">Порядок формирования схемы прикрепления по регулируемым договорам купли-продажи электрической энергии и мощности, а также ограничения, </w:t>
            </w:r>
            <w:proofErr w:type="spellStart"/>
            <w:r w:rsidRPr="00340A99">
              <w:rPr>
                <w:rFonts w:ascii="Garamond" w:hAnsi="Garamond"/>
              </w:rPr>
              <w:t>учитывающиеся</w:t>
            </w:r>
            <w:proofErr w:type="spellEnd"/>
            <w:r w:rsidRPr="00340A99">
              <w:rPr>
                <w:rFonts w:ascii="Garamond" w:hAnsi="Garamond"/>
              </w:rPr>
              <w:t xml:space="preserve"> при формировании схемы прикрепления по регулируемым договорам купли-продажи электрической энергии и мощности, приведены в приложении 3 к настоящему Регламенту.</w:t>
            </w:r>
          </w:p>
          <w:p w14:paraId="0A8AF28D" w14:textId="77777777" w:rsidR="0084293B" w:rsidRPr="00516E5D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ind w:firstLine="604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Схема прикрепления по регулируемым договорам может формироваться либо на период регулирования (календарный год), либо в два этапа: на период с января по март и на период с апреля по декабрь.</w:t>
            </w:r>
          </w:p>
        </w:tc>
        <w:tc>
          <w:tcPr>
            <w:tcW w:w="7371" w:type="dxa"/>
            <w:shd w:val="clear" w:color="auto" w:fill="auto"/>
          </w:tcPr>
          <w:p w14:paraId="0F87CB11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lastRenderedPageBreak/>
              <w:t>КО для формирования регулируемых договоров купли-продажи электрической энергии и мощности и определения объемов поставки электрической энергии и мощности по регулируемым договорам купли-продажи электрической энергии и мощности осуществляет расчет схемы прикрепления по регулируемым договорам.</w:t>
            </w:r>
          </w:p>
          <w:p w14:paraId="6785F55C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 xml:space="preserve">Схема прикрепления по регулируемым договорам купли-продажи электрической энергии и мощности включает в себя информацию обо всех </w:t>
            </w:r>
            <w:r w:rsidRPr="00340A99">
              <w:rPr>
                <w:rFonts w:ascii="Garamond" w:hAnsi="Garamond"/>
              </w:rPr>
              <w:lastRenderedPageBreak/>
              <w:t>регулируемых договорах купли-продажи электрической энергии и мощности, сформированных на определенный период, а именно в отношении каждого регулируемого договора купли-продажи электрической энергии и мощности:</w:t>
            </w:r>
          </w:p>
          <w:p w14:paraId="1922AE61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ГТП покупателя;</w:t>
            </w:r>
          </w:p>
          <w:p w14:paraId="62887E8D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одна или несколько ГТП продавца;</w:t>
            </w:r>
          </w:p>
          <w:p w14:paraId="296BD3B8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почасовой объем поставки электрической энергии;</w:t>
            </w:r>
          </w:p>
          <w:p w14:paraId="28A61449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−</w:t>
            </w:r>
            <w:r w:rsidRPr="00340A99">
              <w:rPr>
                <w:rFonts w:ascii="Garamond" w:hAnsi="Garamond"/>
              </w:rPr>
              <w:tab/>
              <w:t>месячный объем поставки мощности.</w:t>
            </w:r>
          </w:p>
          <w:p w14:paraId="0664F137" w14:textId="77777777" w:rsidR="0084293B" w:rsidRPr="00340A99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ind w:firstLine="604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 xml:space="preserve">Порядок формирования схемы прикрепления по регулируемым договорам купли-продажи электрической энергии и мощности, а также ограничения, </w:t>
            </w:r>
            <w:proofErr w:type="spellStart"/>
            <w:r w:rsidRPr="00340A99">
              <w:rPr>
                <w:rFonts w:ascii="Garamond" w:hAnsi="Garamond"/>
              </w:rPr>
              <w:t>учитывающиеся</w:t>
            </w:r>
            <w:proofErr w:type="spellEnd"/>
            <w:r w:rsidRPr="00340A99">
              <w:rPr>
                <w:rFonts w:ascii="Garamond" w:hAnsi="Garamond"/>
              </w:rPr>
              <w:t xml:space="preserve"> при формировании схемы прикрепления по регулируемым договорам купли-продажи электрической энергии и мощности, приведены в приложении 3 к настоящему Регламенту.</w:t>
            </w:r>
          </w:p>
          <w:p w14:paraId="69868366" w14:textId="77777777" w:rsidR="0084293B" w:rsidRDefault="0084293B" w:rsidP="001422CA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40A99">
              <w:rPr>
                <w:rFonts w:ascii="Garamond" w:hAnsi="Garamond"/>
              </w:rPr>
              <w:t>Схема прикрепления по регулируемым договорам может формироваться либо на период регулирования (календарный год), либо в два этапа: на период с января по март и на период с апреля по декабрь.</w:t>
            </w:r>
          </w:p>
          <w:p w14:paraId="686BD7A3" w14:textId="77777777" w:rsidR="0084293B" w:rsidRPr="00516E5D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ind w:firstLine="604"/>
              <w:jc w:val="both"/>
              <w:outlineLvl w:val="2"/>
              <w:rPr>
                <w:rFonts w:ascii="Garamond" w:hAnsi="Garamond"/>
              </w:rPr>
            </w:pPr>
            <w:r w:rsidRPr="00340A99">
              <w:rPr>
                <w:rFonts w:ascii="Garamond" w:hAnsi="Garamond"/>
                <w:highlight w:val="yellow"/>
              </w:rPr>
              <w:t>В отношении 2024 года схема прикрепления по регулируемым договорам формируется в 3 этапа: на период с января по март 2024 года, на апрель 2024 года и на период с мая по декабрь 2024 года.</w:t>
            </w:r>
          </w:p>
        </w:tc>
      </w:tr>
      <w:tr w:rsidR="0084293B" w:rsidRPr="00516E5D" w14:paraId="6A506A24" w14:textId="77777777" w:rsidTr="0084293B">
        <w:trPr>
          <w:trHeight w:val="561"/>
        </w:trPr>
        <w:tc>
          <w:tcPr>
            <w:tcW w:w="993" w:type="dxa"/>
          </w:tcPr>
          <w:p w14:paraId="08B4C946" w14:textId="77777777" w:rsidR="0084293B" w:rsidRPr="00516E5D" w:rsidRDefault="0084293B" w:rsidP="001422CA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 w:rsidRPr="00516E5D">
              <w:rPr>
                <w:rFonts w:ascii="Garamond" w:hAnsi="Garamond"/>
                <w:b/>
              </w:rPr>
              <w:lastRenderedPageBreak/>
              <w:t>3.9</w:t>
            </w:r>
          </w:p>
        </w:tc>
        <w:tc>
          <w:tcPr>
            <w:tcW w:w="6520" w:type="dxa"/>
            <w:shd w:val="clear" w:color="auto" w:fill="auto"/>
          </w:tcPr>
          <w:p w14:paraId="1A9A2593" w14:textId="77777777" w:rsidR="0084293B" w:rsidRPr="00516E5D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t xml:space="preserve">Ежемесячно не позднее чем за 2 календарных дня до начала расчетного </w:t>
            </w:r>
            <w:r w:rsidRPr="00186649">
              <w:rPr>
                <w:rFonts w:ascii="Garamond" w:hAnsi="Garamond"/>
              </w:rPr>
              <w:t>месяца (за октябрь 2019 года не позднее 4 октября 2019 года; за июль 2020 года не позднее 30 июня 2020 года)</w:t>
            </w:r>
            <w:r w:rsidRPr="00516E5D">
              <w:rPr>
                <w:rFonts w:ascii="Garamond" w:hAnsi="Garamond"/>
              </w:rPr>
              <w:t xml:space="preserve"> КО определяет почасовые договорные объемы поставки электрической энергии и договорные объемы поставки мощности по регулируемым договорам и публикует их на своем официальном сайте персонально для каждого участника оптового рынка,</w:t>
            </w:r>
            <w:r w:rsidRPr="00516E5D">
              <w:rPr>
                <w:rFonts w:ascii="Garamond" w:hAnsi="Garamond"/>
                <w:bCs/>
                <w:iCs/>
              </w:rPr>
              <w:t xml:space="preserve"> у которого действуют регулируемые договоры в отношении расчетного месяца, </w:t>
            </w:r>
            <w:r w:rsidRPr="00516E5D">
              <w:rPr>
                <w:rFonts w:ascii="Garamond" w:hAnsi="Garamond"/>
              </w:rPr>
              <w:t>с использованием электронной подписи по форме приложений:</w:t>
            </w:r>
          </w:p>
          <w:p w14:paraId="26A03326" w14:textId="77777777" w:rsidR="0084293B" w:rsidRPr="00516E5D" w:rsidRDefault="0084293B" w:rsidP="001422CA">
            <w:pPr>
              <w:numPr>
                <w:ilvl w:val="0"/>
                <w:numId w:val="36"/>
              </w:numPr>
              <w:spacing w:before="120" w:after="120" w:line="240" w:lineRule="auto"/>
              <w:ind w:left="851" w:hanging="426"/>
              <w:jc w:val="both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t xml:space="preserve">почасовые графики поставки электрической энергии по регулируемому договору купли-продажи электрической </w:t>
            </w:r>
            <w:r w:rsidRPr="00516E5D">
              <w:rPr>
                <w:rFonts w:ascii="Garamond" w:hAnsi="Garamond"/>
              </w:rPr>
              <w:lastRenderedPageBreak/>
              <w:t>энергии и мощности (приложение 10.3 к настоящему Регламенту);</w:t>
            </w:r>
          </w:p>
          <w:p w14:paraId="6AD6FBDD" w14:textId="77777777" w:rsidR="0084293B" w:rsidRPr="00516E5D" w:rsidRDefault="0084293B" w:rsidP="001422CA">
            <w:pPr>
              <w:numPr>
                <w:ilvl w:val="0"/>
                <w:numId w:val="36"/>
              </w:numPr>
              <w:spacing w:before="120" w:after="120" w:line="240" w:lineRule="auto"/>
              <w:ind w:left="851" w:hanging="426"/>
              <w:jc w:val="both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t>величины мощности, поставляемые по регулируемому договору купли-продажи электрической энергии и мощности (приложение 10.4 к настоящему Р</w:t>
            </w:r>
            <w:bookmarkStart w:id="8" w:name="_GoBack"/>
            <w:bookmarkEnd w:id="8"/>
            <w:r w:rsidRPr="00516E5D">
              <w:rPr>
                <w:rFonts w:ascii="Garamond" w:hAnsi="Garamond"/>
              </w:rPr>
              <w:t>егламенту).</w:t>
            </w:r>
          </w:p>
          <w:p w14:paraId="54893CED" w14:textId="77777777" w:rsidR="0084293B" w:rsidRPr="0084293B" w:rsidRDefault="0084293B" w:rsidP="001422CA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</w:rPr>
            </w:pPr>
            <w:r w:rsidRPr="0084293B">
              <w:rPr>
                <w:rFonts w:ascii="Garamond" w:hAnsi="Garamond"/>
              </w:rPr>
              <w:t>…</w:t>
            </w:r>
          </w:p>
        </w:tc>
        <w:tc>
          <w:tcPr>
            <w:tcW w:w="7371" w:type="dxa"/>
            <w:shd w:val="clear" w:color="auto" w:fill="auto"/>
          </w:tcPr>
          <w:p w14:paraId="2FF342D0" w14:textId="77777777" w:rsidR="0084293B" w:rsidRPr="00516E5D" w:rsidRDefault="0084293B" w:rsidP="001422CA">
            <w:pPr>
              <w:numPr>
                <w:ilvl w:val="2"/>
                <w:numId w:val="0"/>
              </w:numPr>
              <w:tabs>
                <w:tab w:val="num" w:pos="0"/>
                <w:tab w:val="left" w:pos="567"/>
              </w:tabs>
              <w:spacing w:before="120" w:after="120"/>
              <w:jc w:val="both"/>
              <w:outlineLvl w:val="2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lastRenderedPageBreak/>
              <w:t xml:space="preserve">Ежемесячно не позднее чем за 2 календарных дня до начала расчетного </w:t>
            </w:r>
            <w:r w:rsidRPr="00186649">
              <w:rPr>
                <w:rFonts w:ascii="Garamond" w:hAnsi="Garamond"/>
              </w:rPr>
              <w:t>месяца (за октябрь 2019 года не позднее 4 октября 2019 года; за июль 2020 года не позднее 30 июня 2020 года</w:t>
            </w:r>
            <w:r w:rsidRPr="00186649">
              <w:rPr>
                <w:rFonts w:ascii="Garamond" w:hAnsi="Garamond"/>
                <w:shd w:val="clear" w:color="auto" w:fill="FFFF00"/>
              </w:rPr>
              <w:t xml:space="preserve">; </w:t>
            </w:r>
            <w:r w:rsidRPr="00155D1C">
              <w:rPr>
                <w:rFonts w:ascii="Garamond" w:hAnsi="Garamond"/>
                <w:highlight w:val="yellow"/>
              </w:rPr>
              <w:t>за апрель 2024 года не позднее 30 марта 2024 года</w:t>
            </w:r>
            <w:r w:rsidRPr="00516E5D">
              <w:rPr>
                <w:rFonts w:ascii="Garamond" w:hAnsi="Garamond"/>
              </w:rPr>
              <w:t>) КО определяет почасовые договорные объемы поставки электрической энергии и договорные объемы поставки мощности по регулируемым договорам и публикует их на своем официальном сайте персонально для каждого участника оптового рынка,</w:t>
            </w:r>
            <w:r w:rsidRPr="00516E5D">
              <w:rPr>
                <w:rFonts w:ascii="Garamond" w:hAnsi="Garamond"/>
                <w:bCs/>
                <w:iCs/>
              </w:rPr>
              <w:t xml:space="preserve"> у которого действуют регулируемые договоры в отношении расчетного месяца, </w:t>
            </w:r>
            <w:r w:rsidRPr="00516E5D">
              <w:rPr>
                <w:rFonts w:ascii="Garamond" w:hAnsi="Garamond"/>
              </w:rPr>
              <w:t>с использованием электронной подписи по форме приложений:</w:t>
            </w:r>
          </w:p>
          <w:p w14:paraId="225702ED" w14:textId="77777777" w:rsidR="0084293B" w:rsidRPr="00516E5D" w:rsidRDefault="0084293B" w:rsidP="001422CA">
            <w:pPr>
              <w:numPr>
                <w:ilvl w:val="0"/>
                <w:numId w:val="36"/>
              </w:numPr>
              <w:spacing w:before="120" w:after="120" w:line="240" w:lineRule="auto"/>
              <w:ind w:left="851" w:hanging="426"/>
              <w:jc w:val="both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lastRenderedPageBreak/>
              <w:t>почасовые графики поставки электрической энергии по регулируемому договору купли-продажи электрической энергии и мощности (приложение 10.3 к настоящему Регламенту);</w:t>
            </w:r>
          </w:p>
          <w:p w14:paraId="7F17FE02" w14:textId="77777777" w:rsidR="0084293B" w:rsidRPr="00516E5D" w:rsidRDefault="0084293B" w:rsidP="001422CA">
            <w:pPr>
              <w:numPr>
                <w:ilvl w:val="0"/>
                <w:numId w:val="36"/>
              </w:numPr>
              <w:spacing w:before="120" w:after="120" w:line="240" w:lineRule="auto"/>
              <w:ind w:left="851" w:hanging="426"/>
              <w:jc w:val="both"/>
              <w:rPr>
                <w:rFonts w:ascii="Garamond" w:hAnsi="Garamond"/>
              </w:rPr>
            </w:pPr>
            <w:r w:rsidRPr="00516E5D">
              <w:rPr>
                <w:rFonts w:ascii="Garamond" w:hAnsi="Garamond"/>
              </w:rPr>
              <w:t>величины мощности, поставляемые по регулируемому договору купли-продажи электрической энергии и мощности (приложение 10.4 к настоящему Регламенту).</w:t>
            </w:r>
          </w:p>
          <w:p w14:paraId="5678909B" w14:textId="77777777" w:rsidR="0084293B" w:rsidRPr="00516E5D" w:rsidRDefault="0084293B" w:rsidP="001422CA">
            <w:pPr>
              <w:spacing w:before="120" w:after="120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…</w:t>
            </w:r>
          </w:p>
        </w:tc>
      </w:tr>
      <w:tr w:rsidR="00021F7C" w:rsidRPr="00B67BEB" w14:paraId="1E25ED1E" w14:textId="77777777" w:rsidTr="0084293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1F5" w14:textId="77777777" w:rsidR="00021F7C" w:rsidRPr="00B67BEB" w:rsidRDefault="00497342" w:rsidP="00497342">
            <w:pPr>
              <w:pStyle w:val="a8"/>
              <w:spacing w:before="120" w:after="120" w:line="240" w:lineRule="auto"/>
              <w:ind w:left="360"/>
              <w:rPr>
                <w:rFonts w:ascii="Garamond" w:hAnsi="Garamond"/>
                <w:b/>
                <w:bCs/>
              </w:rPr>
            </w:pPr>
            <w:r w:rsidRPr="00B67BEB">
              <w:rPr>
                <w:rFonts w:ascii="Garamond" w:hAnsi="Garamond"/>
                <w:b/>
                <w:bCs/>
              </w:rPr>
              <w:lastRenderedPageBreak/>
              <w:t>5</w:t>
            </w:r>
          </w:p>
          <w:p w14:paraId="49CFCE73" w14:textId="77777777" w:rsidR="00021F7C" w:rsidRPr="00B67BEB" w:rsidRDefault="00021F7C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DF54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bookmarkStart w:id="9" w:name="_Toc138724394"/>
            <w:r w:rsidRPr="00B67BEB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p w14:paraId="7B977347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B67BEB">
              <w:rPr>
                <w:rFonts w:ascii="Garamond" w:hAnsi="Garamond"/>
                <w:b w:val="0"/>
                <w:sz w:val="22"/>
                <w:szCs w:val="22"/>
              </w:rPr>
              <w:t>Вынесение измененной (изменений) схемы прикрепления по регулируемым договорам на утверждение Наблюдательным советом Совета рынка не требуется, если при формировании измененной (изменений) схемы прикрепления по регулируемым договорам выполняются следующие условия:</w:t>
            </w:r>
            <w:bookmarkEnd w:id="9"/>
          </w:p>
          <w:p w14:paraId="7C2E5BDB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bookmarkStart w:id="10" w:name="_Toc112166513"/>
            <w:bookmarkStart w:id="11" w:name="_Toc138724395"/>
            <w:r w:rsidRPr="00B67BEB">
              <w:rPr>
                <w:rFonts w:ascii="Garamond" w:hAnsi="Garamond"/>
                <w:b w:val="0"/>
                <w:sz w:val="22"/>
                <w:szCs w:val="22"/>
              </w:rPr>
              <w:t>– коэффициенты, задающие допустимые отклонения параметров модели формирования схемы прикрепления по регулируемым договорам (пункт 2.3 приложения 3 к настоящему Регламенту) сохраняются равными аналогичным коэффициентам, утвержденным Наблюдательным советом Совета рынка;</w:t>
            </w:r>
            <w:bookmarkEnd w:id="10"/>
            <w:bookmarkEnd w:id="11"/>
            <w:r w:rsidRPr="00B67BEB"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</w:p>
          <w:p w14:paraId="1986E483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bookmarkStart w:id="12" w:name="_Toc112166514"/>
            <w:bookmarkStart w:id="13" w:name="_Toc138724396"/>
            <w:r w:rsidRPr="00B67BEB">
              <w:rPr>
                <w:rFonts w:ascii="Garamond" w:hAnsi="Garamond"/>
                <w:b w:val="0"/>
                <w:sz w:val="22"/>
                <w:szCs w:val="22"/>
              </w:rPr>
              <w:t>– в случаях, предусмотренных п. 5.5 настоящего Регламента, выбраны только генерирующие объекты, указанные в абзацах 7 и (или) 10 п. 5.5 настоящего Регламента.</w:t>
            </w:r>
            <w:bookmarkEnd w:id="12"/>
            <w:bookmarkEnd w:id="13"/>
          </w:p>
          <w:p w14:paraId="66F9241E" w14:textId="77777777" w:rsidR="00021F7C" w:rsidRPr="00B67BEB" w:rsidRDefault="00497342" w:rsidP="00075BF1">
            <w:pPr>
              <w:pStyle w:val="5"/>
              <w:numPr>
                <w:ilvl w:val="0"/>
                <w:numId w:val="0"/>
              </w:numPr>
              <w:ind w:firstLine="527"/>
              <w:rPr>
                <w:rFonts w:ascii="Garamond" w:hAnsi="Garamond"/>
                <w:szCs w:val="22"/>
              </w:rPr>
            </w:pPr>
            <w:r w:rsidRPr="00B67BEB"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8B61" w14:textId="77777777" w:rsidR="00021F7C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B67BEB">
              <w:rPr>
                <w:rFonts w:ascii="Garamond" w:hAnsi="Garamond"/>
                <w:b w:val="0"/>
                <w:sz w:val="22"/>
                <w:szCs w:val="22"/>
              </w:rPr>
              <w:t>…</w:t>
            </w:r>
          </w:p>
          <w:p w14:paraId="2D4F0B70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B67BEB">
              <w:rPr>
                <w:rFonts w:ascii="Garamond" w:hAnsi="Garamond"/>
                <w:b w:val="0"/>
                <w:sz w:val="22"/>
                <w:szCs w:val="22"/>
              </w:rPr>
              <w:t>Вынесение измененной (изменений) схемы прикрепления по регулируемым договорам на утверждение Наблюдательным советом Совета рынка не требуется, если при формировании измененной (изменений) схемы прикрепления по регулируемым договорам выполняются следующие условия:</w:t>
            </w:r>
          </w:p>
          <w:p w14:paraId="4C76A3A0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B67BEB">
              <w:rPr>
                <w:rFonts w:ascii="Garamond" w:hAnsi="Garamond"/>
                <w:b w:val="0"/>
                <w:sz w:val="22"/>
                <w:szCs w:val="22"/>
              </w:rPr>
              <w:t xml:space="preserve">– коэффициенты, задающие допустимые отклонения параметров модели формирования схемы прикрепления по регулируемым договорам (пункт 2.3 приложения 3 к настоящему Регламенту) сохраняются равными аналогичным коэффициентам, утвержденным Наблюдательным советом Совета рынка; </w:t>
            </w:r>
          </w:p>
          <w:p w14:paraId="7E700617" w14:textId="77777777" w:rsidR="00497342" w:rsidRPr="00B67BEB" w:rsidRDefault="0049734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 w:rsidRPr="00B67BEB">
              <w:rPr>
                <w:rFonts w:ascii="Garamond" w:hAnsi="Garamond"/>
                <w:b w:val="0"/>
                <w:sz w:val="22"/>
                <w:szCs w:val="22"/>
              </w:rPr>
              <w:t>– в случаях, предусмотренных п. 5.5 настоящего Регламента, выбраны только генерирующие объекты, указанные в абзацах 7 и (или) 10 п. 5.5 настоящего Регламента;</w:t>
            </w:r>
          </w:p>
          <w:p w14:paraId="2AA69FCF" w14:textId="31C3F715" w:rsidR="00497342" w:rsidRPr="00B67BEB" w:rsidRDefault="00CF1032" w:rsidP="00497342">
            <w:pPr>
              <w:pStyle w:val="3"/>
              <w:numPr>
                <w:ilvl w:val="0"/>
                <w:numId w:val="0"/>
              </w:numPr>
              <w:ind w:firstLine="567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–</w:t>
            </w:r>
            <w:r w:rsidR="00497342" w:rsidRPr="00B67BEB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 в случае, предусмотренном п. 5.7 настоящего Регламента.</w:t>
            </w:r>
          </w:p>
          <w:p w14:paraId="554DA0FD" w14:textId="77777777" w:rsidR="00497342" w:rsidRPr="00B67BEB" w:rsidRDefault="00497342" w:rsidP="00497342">
            <w:pPr>
              <w:ind w:firstLine="708"/>
              <w:rPr>
                <w:rFonts w:ascii="Garamond" w:hAnsi="Garamond"/>
              </w:rPr>
            </w:pPr>
            <w:r w:rsidRPr="00B67BEB">
              <w:rPr>
                <w:rFonts w:ascii="Garamond" w:hAnsi="Garamond"/>
              </w:rPr>
              <w:t>…</w:t>
            </w:r>
          </w:p>
        </w:tc>
      </w:tr>
      <w:tr w:rsidR="00497342" w:rsidRPr="00B67BEB" w14:paraId="73786FAF" w14:textId="77777777" w:rsidTr="0084293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E42" w14:textId="77777777" w:rsidR="00497342" w:rsidRPr="00B67BEB" w:rsidRDefault="00497342" w:rsidP="00497342">
            <w:pPr>
              <w:pStyle w:val="a8"/>
              <w:spacing w:before="120" w:after="120" w:line="240" w:lineRule="auto"/>
              <w:ind w:left="360"/>
              <w:rPr>
                <w:rFonts w:ascii="Garamond" w:hAnsi="Garamond"/>
                <w:b/>
                <w:bCs/>
              </w:rPr>
            </w:pPr>
            <w:r w:rsidRPr="00B67BEB">
              <w:rPr>
                <w:rFonts w:ascii="Garamond" w:hAnsi="Garamond"/>
                <w:b/>
                <w:bCs/>
              </w:rPr>
              <w:t>5.7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D2F4" w14:textId="77777777" w:rsidR="00497342" w:rsidRPr="00B67BEB" w:rsidRDefault="00497342" w:rsidP="00075BF1">
            <w:pPr>
              <w:pStyle w:val="5"/>
              <w:numPr>
                <w:ilvl w:val="0"/>
                <w:numId w:val="0"/>
              </w:numPr>
              <w:ind w:firstLine="527"/>
              <w:rPr>
                <w:rFonts w:ascii="Garamond" w:hAnsi="Garamond"/>
                <w:b/>
                <w:szCs w:val="22"/>
              </w:rPr>
            </w:pPr>
            <w:r w:rsidRPr="00B67BEB">
              <w:rPr>
                <w:rFonts w:ascii="Garamond" w:hAnsi="Garamond"/>
                <w:b/>
                <w:szCs w:val="22"/>
              </w:rPr>
              <w:t>Добавить пункт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D7B2" w14:textId="35ED37AC" w:rsidR="00497342" w:rsidRPr="00B67BEB" w:rsidRDefault="00497342" w:rsidP="00497342">
            <w:pPr>
              <w:pStyle w:val="3"/>
              <w:keepNext w:val="0"/>
              <w:numPr>
                <w:ilvl w:val="1"/>
                <w:numId w:val="27"/>
              </w:numPr>
              <w:spacing w:before="120" w:after="120"/>
              <w:rPr>
                <w:rFonts w:ascii="Garamond" w:hAnsi="Garamond"/>
                <w:sz w:val="22"/>
                <w:szCs w:val="22"/>
                <w:highlight w:val="yellow"/>
              </w:rPr>
            </w:pPr>
            <w:bookmarkStart w:id="14" w:name="_Toc112166535"/>
            <w:bookmarkStart w:id="15" w:name="_Toc138724416"/>
            <w:r w:rsidRPr="00B67BEB">
              <w:rPr>
                <w:rFonts w:ascii="Garamond" w:hAnsi="Garamond"/>
                <w:sz w:val="22"/>
                <w:szCs w:val="22"/>
                <w:highlight w:val="yellow"/>
              </w:rPr>
              <w:t>Порядок изменения регулируемых договоров, схемы прикрепления по регулируемым договорам и (или) перечня регулируемых</w:t>
            </w:r>
            <w:r w:rsidR="000E7DD4" w:rsidRPr="00B67BEB">
              <w:rPr>
                <w:rFonts w:ascii="Garamond" w:hAnsi="Garamond"/>
                <w:sz w:val="22"/>
                <w:szCs w:val="22"/>
                <w:highlight w:val="yellow"/>
              </w:rPr>
              <w:t xml:space="preserve"> договоров</w:t>
            </w:r>
            <w:r w:rsidRPr="00B67BEB">
              <w:rPr>
                <w:rFonts w:ascii="Garamond" w:hAnsi="Garamond"/>
                <w:sz w:val="22"/>
                <w:szCs w:val="22"/>
                <w:highlight w:val="yellow"/>
              </w:rPr>
              <w:t xml:space="preserve"> в случае лишения продавца права участия в то</w:t>
            </w:r>
            <w:r w:rsidR="00DB28CB" w:rsidRPr="00B67BEB">
              <w:rPr>
                <w:rFonts w:ascii="Garamond" w:hAnsi="Garamond"/>
                <w:sz w:val="22"/>
                <w:szCs w:val="22"/>
                <w:highlight w:val="yellow"/>
              </w:rPr>
              <w:t>рговле электрической энергией (</w:t>
            </w:r>
            <w:r w:rsidRPr="00B67BEB">
              <w:rPr>
                <w:rFonts w:ascii="Garamond" w:hAnsi="Garamond"/>
                <w:sz w:val="22"/>
                <w:szCs w:val="22"/>
                <w:highlight w:val="yellow"/>
              </w:rPr>
              <w:t>мощностью</w:t>
            </w:r>
            <w:r w:rsidR="00DB28CB" w:rsidRPr="00B67BEB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B67BEB">
              <w:rPr>
                <w:rFonts w:ascii="Garamond" w:hAnsi="Garamond"/>
                <w:sz w:val="22"/>
                <w:szCs w:val="22"/>
                <w:highlight w:val="yellow"/>
              </w:rPr>
              <w:t xml:space="preserve"> на оптовом рынке </w:t>
            </w:r>
            <w:r w:rsidR="005578C2">
              <w:rPr>
                <w:rFonts w:ascii="Garamond" w:hAnsi="Garamond"/>
                <w:sz w:val="22"/>
                <w:szCs w:val="22"/>
                <w:highlight w:val="yellow"/>
              </w:rPr>
              <w:t>по</w:t>
            </w:r>
            <w:r w:rsidRPr="00B67BEB">
              <w:rPr>
                <w:rFonts w:ascii="Garamond" w:hAnsi="Garamond"/>
                <w:sz w:val="22"/>
                <w:szCs w:val="22"/>
                <w:highlight w:val="yellow"/>
              </w:rPr>
              <w:t xml:space="preserve"> ГТП генерации, сформированной в отношении генерирующего оборудования КОММод, функционирующего до реализации мероприятий по модернизации</w:t>
            </w:r>
            <w:bookmarkEnd w:id="14"/>
            <w:bookmarkEnd w:id="15"/>
          </w:p>
          <w:p w14:paraId="106EA7A7" w14:textId="7F27A3E7" w:rsidR="00497342" w:rsidRPr="00CF1032" w:rsidRDefault="00497342" w:rsidP="00497342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B67BEB">
              <w:rPr>
                <w:rFonts w:ascii="Garamond" w:hAnsi="Garamond"/>
                <w:highlight w:val="yellow"/>
              </w:rPr>
              <w:t xml:space="preserve">В случае если в отношении ГТП генерации </w:t>
            </w:r>
            <w:r w:rsidRPr="00B67BEB">
              <w:rPr>
                <w:rFonts w:ascii="Garamond" w:hAnsi="Garamond"/>
                <w:i/>
                <w:highlight w:val="yellow"/>
              </w:rPr>
              <w:t>GTP</w:t>
            </w:r>
            <w:r w:rsidRPr="00B67BEB">
              <w:rPr>
                <w:rFonts w:ascii="Garamond" w:hAnsi="Garamond"/>
                <w:highlight w:val="yellow"/>
              </w:rPr>
              <w:t xml:space="preserve"> поставщика электрической энергии и мощности </w:t>
            </w:r>
            <w:r w:rsidRPr="00B67BEB">
              <w:rPr>
                <w:rFonts w:ascii="Garamond" w:hAnsi="Garamond"/>
                <w:i/>
                <w:highlight w:val="yellow"/>
              </w:rPr>
              <w:t>I</w:t>
            </w:r>
            <w:r w:rsidRPr="00B67BEB">
              <w:rPr>
                <w:rFonts w:ascii="Garamond" w:hAnsi="Garamond"/>
                <w:highlight w:val="yellow"/>
              </w:rPr>
              <w:t xml:space="preserve">, </w:t>
            </w:r>
            <w:r w:rsidR="003A5284" w:rsidRPr="00B67BEB">
              <w:rPr>
                <w:rFonts w:ascii="Garamond" w:hAnsi="Garamond"/>
                <w:highlight w:val="yellow"/>
              </w:rPr>
              <w:t xml:space="preserve">сформированной в отношении генерирующего оборудования КОММод, функционирующего до реализации </w:t>
            </w:r>
            <w:r w:rsidR="003A5284" w:rsidRPr="00B67BEB">
              <w:rPr>
                <w:rFonts w:ascii="Garamond" w:hAnsi="Garamond"/>
                <w:highlight w:val="yellow"/>
              </w:rPr>
              <w:lastRenderedPageBreak/>
              <w:t xml:space="preserve">мероприятий по модернизации, </w:t>
            </w:r>
            <w:r w:rsidRPr="00B67BEB">
              <w:rPr>
                <w:rFonts w:ascii="Garamond" w:hAnsi="Garamond"/>
                <w:highlight w:val="yellow"/>
              </w:rPr>
              <w:t xml:space="preserve">включающей генерирующий объект </w:t>
            </w:r>
            <w:r w:rsidRPr="00B67BEB">
              <w:rPr>
                <w:rFonts w:ascii="Garamond" w:hAnsi="Garamond"/>
                <w:i/>
                <w:highlight w:val="yellow"/>
              </w:rPr>
              <w:t>G</w:t>
            </w:r>
            <w:r w:rsidRPr="00B67BEB">
              <w:rPr>
                <w:rFonts w:ascii="Garamond" w:hAnsi="Garamond"/>
                <w:highlight w:val="yellow"/>
              </w:rPr>
              <w:t xml:space="preserve">, в отношении которой </w:t>
            </w:r>
            <w:r w:rsidRPr="00CF1032">
              <w:rPr>
                <w:rFonts w:ascii="Garamond" w:hAnsi="Garamond"/>
                <w:highlight w:val="yellow"/>
              </w:rPr>
              <w:t xml:space="preserve">заключены регулируемые договоры купли-продажи электрической энергии и </w:t>
            </w:r>
            <w:r w:rsidR="00DB28CB" w:rsidRPr="00CF1032">
              <w:rPr>
                <w:rFonts w:ascii="Garamond" w:hAnsi="Garamond"/>
                <w:highlight w:val="yellow"/>
              </w:rPr>
              <w:t xml:space="preserve">(или) </w:t>
            </w:r>
            <w:r w:rsidRPr="00CF1032">
              <w:rPr>
                <w:rFonts w:ascii="Garamond" w:hAnsi="Garamond"/>
                <w:highlight w:val="yellow"/>
              </w:rPr>
              <w:t>мощности</w:t>
            </w:r>
            <w:r w:rsidR="00457B26" w:rsidRPr="00CF1032">
              <w:rPr>
                <w:rFonts w:ascii="Garamond" w:hAnsi="Garamond"/>
                <w:highlight w:val="yellow"/>
              </w:rPr>
              <w:t xml:space="preserve"> или</w:t>
            </w:r>
            <w:r w:rsidR="00C30232" w:rsidRPr="00CF1032">
              <w:rPr>
                <w:rFonts w:ascii="Garamond" w:hAnsi="Garamond"/>
                <w:highlight w:val="yellow"/>
              </w:rPr>
              <w:t xml:space="preserve"> в </w:t>
            </w:r>
            <w:r w:rsidR="00BA3D91" w:rsidRPr="00CF1032">
              <w:rPr>
                <w:rFonts w:ascii="Garamond" w:hAnsi="Garamond"/>
                <w:highlight w:val="yellow"/>
              </w:rPr>
              <w:t>утвержден</w:t>
            </w:r>
            <w:r w:rsidR="00C30232" w:rsidRPr="00CF1032">
              <w:rPr>
                <w:rFonts w:ascii="Garamond" w:hAnsi="Garamond"/>
                <w:highlight w:val="yellow"/>
              </w:rPr>
              <w:t>ной</w:t>
            </w:r>
            <w:r w:rsidR="00BA3D91" w:rsidRPr="00CF1032">
              <w:rPr>
                <w:rFonts w:ascii="Garamond" w:hAnsi="Garamond"/>
                <w:highlight w:val="yellow"/>
              </w:rPr>
              <w:t xml:space="preserve"> </w:t>
            </w:r>
            <w:r w:rsidR="00C30232" w:rsidRPr="00CF1032">
              <w:rPr>
                <w:rFonts w:ascii="Garamond" w:hAnsi="Garamond"/>
                <w:highlight w:val="yellow"/>
              </w:rPr>
              <w:t xml:space="preserve">схеме </w:t>
            </w:r>
            <w:r w:rsidR="00457B26" w:rsidRPr="00CF1032">
              <w:rPr>
                <w:rFonts w:ascii="Garamond" w:hAnsi="Garamond"/>
                <w:highlight w:val="yellow"/>
              </w:rPr>
              <w:t xml:space="preserve">прикрепления </w:t>
            </w:r>
            <w:r w:rsidR="00C30232" w:rsidRPr="00CF1032">
              <w:rPr>
                <w:rFonts w:ascii="Garamond" w:hAnsi="Garamond"/>
                <w:highlight w:val="yellow"/>
              </w:rPr>
              <w:t xml:space="preserve"> </w:t>
            </w:r>
            <w:r w:rsidR="007F31BB" w:rsidRPr="00CF1032">
              <w:rPr>
                <w:rFonts w:ascii="Garamond" w:hAnsi="Garamond"/>
                <w:highlight w:val="yellow"/>
              </w:rPr>
              <w:t xml:space="preserve">определены объемы поставки электрической энергии по </w:t>
            </w:r>
            <w:r w:rsidR="00457B26" w:rsidRPr="00CF1032">
              <w:rPr>
                <w:rFonts w:ascii="Garamond" w:hAnsi="Garamond"/>
                <w:highlight w:val="yellow"/>
              </w:rPr>
              <w:t>регулируемым договорам</w:t>
            </w:r>
            <w:r w:rsidR="007F31BB" w:rsidRPr="00CF1032">
              <w:rPr>
                <w:rFonts w:ascii="Garamond" w:hAnsi="Garamond"/>
                <w:highlight w:val="yellow"/>
              </w:rPr>
              <w:t xml:space="preserve">, </w:t>
            </w:r>
            <w:r w:rsidR="00E26F66" w:rsidRPr="00CF1032">
              <w:rPr>
                <w:rFonts w:ascii="Garamond" w:hAnsi="Garamond"/>
                <w:highlight w:val="yellow"/>
              </w:rPr>
              <w:t xml:space="preserve">ранее </w:t>
            </w:r>
            <w:r w:rsidR="00D05F37" w:rsidRPr="00CF1032">
              <w:rPr>
                <w:rFonts w:ascii="Garamond" w:hAnsi="Garamond"/>
                <w:highlight w:val="yellow"/>
              </w:rPr>
              <w:t>принято</w:t>
            </w:r>
            <w:r w:rsidR="0033026A" w:rsidRPr="00CF1032">
              <w:rPr>
                <w:rFonts w:ascii="Garamond" w:hAnsi="Garamond"/>
                <w:highlight w:val="yellow"/>
              </w:rPr>
              <w:t xml:space="preserve"> и вступает в силу</w:t>
            </w:r>
            <w:r w:rsidR="00D05F37" w:rsidRPr="00CF1032">
              <w:rPr>
                <w:rFonts w:ascii="Garamond" w:hAnsi="Garamond"/>
                <w:highlight w:val="yellow"/>
              </w:rPr>
              <w:t xml:space="preserve"> решение о лишении права участия в т</w:t>
            </w:r>
            <w:r w:rsidR="00DB28CB" w:rsidRPr="00CF1032">
              <w:rPr>
                <w:rFonts w:ascii="Garamond" w:hAnsi="Garamond"/>
                <w:highlight w:val="yellow"/>
              </w:rPr>
              <w:t>орговле электрической энергией (</w:t>
            </w:r>
            <w:r w:rsidR="00D05F37" w:rsidRPr="00CF1032">
              <w:rPr>
                <w:rFonts w:ascii="Garamond" w:hAnsi="Garamond"/>
                <w:highlight w:val="yellow"/>
              </w:rPr>
              <w:t>мощностью</w:t>
            </w:r>
            <w:r w:rsidR="00DB28CB" w:rsidRPr="00CF1032">
              <w:rPr>
                <w:rFonts w:ascii="Garamond" w:hAnsi="Garamond"/>
                <w:highlight w:val="yellow"/>
              </w:rPr>
              <w:t>)</w:t>
            </w:r>
            <w:r w:rsidR="00D05F37" w:rsidRPr="00CF1032">
              <w:rPr>
                <w:rFonts w:ascii="Garamond" w:hAnsi="Garamond"/>
                <w:highlight w:val="yellow"/>
              </w:rPr>
              <w:t xml:space="preserve"> в текущем периоде регулирования с месяца </w:t>
            </w:r>
            <w:r w:rsidR="00D05F37" w:rsidRPr="00CF1032">
              <w:rPr>
                <w:rFonts w:ascii="Garamond" w:hAnsi="Garamond"/>
                <w:i/>
                <w:highlight w:val="yellow"/>
              </w:rPr>
              <w:t>m</w:t>
            </w:r>
            <w:r w:rsidR="00D05F37" w:rsidRPr="00CF1032">
              <w:rPr>
                <w:rFonts w:ascii="Garamond" w:hAnsi="Garamond"/>
                <w:highlight w:val="yellow"/>
              </w:rPr>
              <w:t xml:space="preserve"> при соблюдении следующих условий:</w:t>
            </w:r>
          </w:p>
          <w:p w14:paraId="002258EF" w14:textId="77777777" w:rsidR="00A63DE3" w:rsidRPr="00CF1032" w:rsidRDefault="00A63DE3" w:rsidP="00D95FD8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CF1032">
              <w:rPr>
                <w:rFonts w:ascii="Garamond" w:hAnsi="Garamond"/>
                <w:highlight w:val="yellow"/>
              </w:rPr>
              <w:t>1) решение о лишении права участия в торговле электрической</w:t>
            </w:r>
            <w:r w:rsidR="00D20904" w:rsidRPr="00CF1032">
              <w:rPr>
                <w:rFonts w:ascii="Garamond" w:hAnsi="Garamond"/>
                <w:highlight w:val="yellow"/>
              </w:rPr>
              <w:t xml:space="preserve"> </w:t>
            </w:r>
            <w:r w:rsidRPr="00CF1032">
              <w:rPr>
                <w:rFonts w:ascii="Garamond" w:hAnsi="Garamond"/>
                <w:highlight w:val="yellow"/>
              </w:rPr>
              <w:t xml:space="preserve">энергией (мощностью) было принято в связи </w:t>
            </w:r>
            <w:r w:rsidR="009474FF" w:rsidRPr="00CF1032">
              <w:rPr>
                <w:rFonts w:ascii="Garamond" w:hAnsi="Garamond"/>
                <w:highlight w:val="yellow"/>
              </w:rPr>
              <w:t xml:space="preserve">с </w:t>
            </w:r>
            <w:r w:rsidR="0033026A" w:rsidRPr="00CF1032">
              <w:rPr>
                <w:rFonts w:ascii="Garamond" w:hAnsi="Garamond"/>
                <w:highlight w:val="yellow"/>
              </w:rPr>
              <w:t xml:space="preserve">выполнением требований, предусмотренных п. 4.1.5 </w:t>
            </w:r>
            <w:r w:rsidR="0033026A" w:rsidRPr="00CF1032">
              <w:rPr>
                <w:rFonts w:ascii="Garamond" w:hAnsi="Garamond"/>
                <w:i/>
                <w:highlight w:val="yellow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="0033026A" w:rsidRPr="00CF1032">
              <w:rPr>
                <w:rFonts w:ascii="Garamond" w:hAnsi="Garamond"/>
                <w:highlight w:val="yellow"/>
              </w:rPr>
              <w:t xml:space="preserve"> (Приложение № 1.1 к </w:t>
            </w:r>
            <w:r w:rsidR="0033026A" w:rsidRPr="00CF1032">
              <w:rPr>
                <w:rFonts w:ascii="Garamond" w:hAnsi="Garamond"/>
                <w:i/>
                <w:iCs/>
                <w:highlight w:val="yellow"/>
              </w:rPr>
              <w:t>Договору о присоединении к торговой системе оптового рынка</w:t>
            </w:r>
            <w:r w:rsidR="0033026A" w:rsidRPr="00CF1032">
              <w:rPr>
                <w:rFonts w:ascii="Garamond" w:hAnsi="Garamond"/>
                <w:highlight w:val="yellow"/>
              </w:rPr>
              <w:t>)</w:t>
            </w:r>
            <w:r w:rsidR="00D95FD8" w:rsidRPr="00CF1032">
              <w:rPr>
                <w:rFonts w:ascii="Garamond" w:hAnsi="Garamond"/>
                <w:highlight w:val="yellow"/>
              </w:rPr>
              <w:t xml:space="preserve">, </w:t>
            </w:r>
            <w:r w:rsidR="00203721" w:rsidRPr="00CF1032">
              <w:rPr>
                <w:rFonts w:ascii="Garamond" w:hAnsi="Garamond"/>
                <w:highlight w:val="yellow"/>
              </w:rPr>
              <w:t>по соответствующей</w:t>
            </w:r>
            <w:r w:rsidRPr="00CF1032">
              <w:rPr>
                <w:rFonts w:ascii="Garamond" w:hAnsi="Garamond"/>
                <w:highlight w:val="yellow"/>
              </w:rPr>
              <w:t xml:space="preserve"> ГТП генерации, сформированной в отношении </w:t>
            </w:r>
            <w:r w:rsidR="00A946DB" w:rsidRPr="00CF1032">
              <w:rPr>
                <w:rFonts w:ascii="Garamond" w:hAnsi="Garamond"/>
                <w:highlight w:val="yellow"/>
              </w:rPr>
              <w:t>генерирующего оборудования КОММод, функционирующего до реализации мероприятий по модернизации</w:t>
            </w:r>
            <w:r w:rsidRPr="00CF1032">
              <w:rPr>
                <w:rFonts w:ascii="Garamond" w:hAnsi="Garamond"/>
                <w:highlight w:val="yellow"/>
              </w:rPr>
              <w:t>;</w:t>
            </w:r>
          </w:p>
          <w:p w14:paraId="40BA8332" w14:textId="60D41497" w:rsidR="00D05F37" w:rsidRPr="00CF1032" w:rsidRDefault="00D05F37">
            <w:pPr>
              <w:pStyle w:val="3"/>
              <w:numPr>
                <w:ilvl w:val="0"/>
                <w:numId w:val="13"/>
              </w:numPr>
              <w:tabs>
                <w:tab w:val="left" w:pos="851"/>
              </w:tabs>
              <w:spacing w:before="120" w:after="120"/>
              <w:ind w:left="0" w:firstLine="567"/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</w:pP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объемы поставки электрической энергии по указанным регулируемым договорам</w:t>
            </w:r>
            <w:r w:rsidR="00457B26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</w:t>
            </w:r>
            <w:r w:rsidR="00915487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или </w:t>
            </w:r>
            <w:r w:rsidR="0030706A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объемы поставки электрической энергии, </w:t>
            </w:r>
            <w:r w:rsidR="007F31BB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определенные</w:t>
            </w:r>
            <w:r w:rsidR="0030706A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утвержденной схем</w:t>
            </w:r>
            <w:r w:rsidR="00F5129A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ой</w:t>
            </w:r>
            <w:r w:rsidR="0030706A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прикрепления</w:t>
            </w:r>
            <w:r w:rsidR="004D6C30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, относящиеся к соответствующим </w:t>
            </w:r>
            <w:r w:rsidR="00BA3D91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регулируемым </w:t>
            </w:r>
            <w:r w:rsidR="00915487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договорам</w:t>
            </w:r>
            <w:r w:rsidR="00BA3D91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,</w:t>
            </w:r>
            <w:r w:rsidR="004D6C30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</w:t>
            </w: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не равны нулю хотя бы в одном месяце в период с месяца </w:t>
            </w:r>
            <w:r w:rsidRPr="000246E7">
              <w:rPr>
                <w:rFonts w:ascii="Garamond" w:eastAsia="Calibri" w:hAnsi="Garamond"/>
                <w:b w:val="0"/>
                <w:i/>
                <w:sz w:val="22"/>
                <w:szCs w:val="22"/>
                <w:highlight w:val="yellow"/>
              </w:rPr>
              <w:t>m</w:t>
            </w: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до окончания срока действия договора</w:t>
            </w:r>
            <w:r w:rsidR="00BA3D91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(до окончания периода, на который сформирована схема прикрепления)</w:t>
            </w: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;</w:t>
            </w:r>
          </w:p>
          <w:p w14:paraId="4E47DBBF" w14:textId="77777777" w:rsidR="00D05F37" w:rsidRPr="00CF1032" w:rsidRDefault="00D05F37" w:rsidP="0027306E">
            <w:pPr>
              <w:pStyle w:val="3"/>
              <w:numPr>
                <w:ilvl w:val="0"/>
                <w:numId w:val="13"/>
              </w:numPr>
              <w:tabs>
                <w:tab w:val="left" w:pos="851"/>
              </w:tabs>
              <w:spacing w:before="120" w:after="120"/>
              <w:ind w:left="0" w:firstLine="630"/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</w:pP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на дату </w:t>
            </w:r>
            <w:r w:rsidR="00492253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вступления в силу решения о лишении права на участие в торговле электрической энергией (мощностью)</w:t>
            </w: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Сводный прогнозный баланс на текущий период регулирования не был скорректирован с учетом </w:t>
            </w:r>
            <w:r w:rsidR="00492253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вышеуказанного решения</w:t>
            </w:r>
            <w:r w:rsidR="00E83C05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. При этом в строке в прогнозных объемах поставки электрической энергии и (или) мощности по регулируемым ценам (тарифам), относящейся к генерирующему объекту </w:t>
            </w:r>
            <w:r w:rsidR="00E83C05" w:rsidRPr="00F5129A">
              <w:rPr>
                <w:rFonts w:ascii="Garamond" w:eastAsia="Calibri" w:hAnsi="Garamond"/>
                <w:b w:val="0"/>
                <w:i/>
                <w:sz w:val="22"/>
                <w:szCs w:val="22"/>
                <w:highlight w:val="yellow"/>
              </w:rPr>
              <w:t>G</w:t>
            </w:r>
            <w:r w:rsidR="00E83C05"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>, отсутствуют иные генерирующие объекты, включенные в ГТП генерации, закрепленные на оптовом рынке,</w:t>
            </w:r>
            <w:r w:rsidRPr="00CF1032">
              <w:rPr>
                <w:rFonts w:ascii="Garamond" w:eastAsia="Calibri" w:hAnsi="Garamond"/>
                <w:b w:val="0"/>
                <w:sz w:val="22"/>
                <w:szCs w:val="22"/>
                <w:highlight w:val="yellow"/>
              </w:rPr>
              <w:t xml:space="preserve"> –</w:t>
            </w:r>
          </w:p>
          <w:p w14:paraId="35C61AA9" w14:textId="77777777" w:rsidR="001C4C15" w:rsidRPr="00CF1032" w:rsidRDefault="001C4C15" w:rsidP="00F5129A">
            <w:pPr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  <w:r w:rsidRPr="00CF1032">
              <w:rPr>
                <w:rFonts w:ascii="Garamond" w:hAnsi="Garamond"/>
                <w:highlight w:val="yellow"/>
              </w:rPr>
              <w:t>указанный поставщик выражает безусловное согласие на изменение схемы прикрепления по регулируемым договорам, осуществляемое КО с учетом следующих особенностей:</w:t>
            </w:r>
          </w:p>
          <w:p w14:paraId="0BF98AEE" w14:textId="77777777" w:rsidR="00F54524" w:rsidRPr="00CF1032" w:rsidRDefault="00F54524" w:rsidP="00F54524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CF1032">
              <w:rPr>
                <w:rFonts w:ascii="Garamond" w:hAnsi="Garamond"/>
                <w:highlight w:val="yellow"/>
              </w:rPr>
              <w:lastRenderedPageBreak/>
              <w:t>– регулируемые договоры, заключенные</w:t>
            </w:r>
            <w:r w:rsidR="00AE77F3" w:rsidRPr="00CF1032">
              <w:rPr>
                <w:rFonts w:ascii="Garamond" w:hAnsi="Garamond"/>
                <w:highlight w:val="yellow"/>
              </w:rPr>
              <w:t xml:space="preserve"> или </w:t>
            </w:r>
            <w:r w:rsidR="00C30232" w:rsidRPr="00CF1032">
              <w:rPr>
                <w:rFonts w:ascii="Garamond" w:hAnsi="Garamond"/>
                <w:highlight w:val="yellow"/>
              </w:rPr>
              <w:t xml:space="preserve">информация </w:t>
            </w:r>
            <w:proofErr w:type="gramStart"/>
            <w:r w:rsidR="00C30232" w:rsidRPr="00CF1032">
              <w:rPr>
                <w:rFonts w:ascii="Garamond" w:hAnsi="Garamond"/>
                <w:highlight w:val="yellow"/>
              </w:rPr>
              <w:t>о формировании</w:t>
            </w:r>
            <w:proofErr w:type="gramEnd"/>
            <w:r w:rsidR="00C30232" w:rsidRPr="00CF1032">
              <w:rPr>
                <w:rFonts w:ascii="Garamond" w:hAnsi="Garamond"/>
                <w:highlight w:val="yellow"/>
              </w:rPr>
              <w:t xml:space="preserve"> которых содержится в утвержденной</w:t>
            </w:r>
            <w:r w:rsidR="00AE77F3" w:rsidRPr="00CF1032">
              <w:rPr>
                <w:rFonts w:ascii="Garamond" w:hAnsi="Garamond"/>
                <w:highlight w:val="yellow"/>
              </w:rPr>
              <w:t xml:space="preserve"> схеме прикрепления</w:t>
            </w:r>
            <w:r w:rsidR="00C30232" w:rsidRPr="00CF1032">
              <w:rPr>
                <w:rFonts w:ascii="Garamond" w:hAnsi="Garamond"/>
                <w:highlight w:val="yellow"/>
              </w:rPr>
              <w:t>,</w:t>
            </w:r>
            <w:r w:rsidRPr="00CF1032">
              <w:rPr>
                <w:rFonts w:ascii="Garamond" w:hAnsi="Garamond"/>
                <w:highlight w:val="yellow"/>
              </w:rPr>
              <w:t xml:space="preserve"> в отношении ГТП генерации </w:t>
            </w:r>
            <w:r w:rsidRPr="00F5129A">
              <w:rPr>
                <w:rFonts w:ascii="Garamond" w:hAnsi="Garamond"/>
                <w:i/>
                <w:highlight w:val="yellow"/>
              </w:rPr>
              <w:t>GTP</w:t>
            </w:r>
            <w:r w:rsidRPr="00CF1032">
              <w:rPr>
                <w:rFonts w:ascii="Garamond" w:hAnsi="Garamond"/>
                <w:highlight w:val="yellow"/>
              </w:rPr>
              <w:t xml:space="preserve"> поставщика электрической энергии и мощности </w:t>
            </w:r>
            <w:r w:rsidRPr="003B621C">
              <w:rPr>
                <w:rFonts w:ascii="Garamond" w:hAnsi="Garamond"/>
                <w:i/>
                <w:highlight w:val="yellow"/>
              </w:rPr>
              <w:t>I</w:t>
            </w:r>
            <w:r w:rsidRPr="00CF1032">
              <w:rPr>
                <w:rFonts w:ascii="Garamond" w:hAnsi="Garamond"/>
                <w:highlight w:val="yellow"/>
              </w:rPr>
              <w:t>, сформированной в отношении генерирующего оборудования КОММод, функционирующего до реализации мероприятий по модернизации, расторгаются</w:t>
            </w:r>
            <w:r w:rsidR="001A6CF7" w:rsidRPr="00CF1032">
              <w:rPr>
                <w:rFonts w:ascii="Garamond" w:hAnsi="Garamond"/>
                <w:highlight w:val="yellow"/>
              </w:rPr>
              <w:t xml:space="preserve"> (</w:t>
            </w:r>
            <w:r w:rsidR="00C30232" w:rsidRPr="00CF1032">
              <w:rPr>
                <w:rFonts w:ascii="Garamond" w:hAnsi="Garamond"/>
                <w:highlight w:val="yellow"/>
              </w:rPr>
              <w:t xml:space="preserve">информация о формировании регулируемых договоров исключается </w:t>
            </w:r>
            <w:r w:rsidR="001A6CF7" w:rsidRPr="00CF1032">
              <w:rPr>
                <w:rFonts w:ascii="Garamond" w:hAnsi="Garamond"/>
                <w:highlight w:val="yellow"/>
              </w:rPr>
              <w:t xml:space="preserve">из </w:t>
            </w:r>
            <w:r w:rsidR="00B003D2" w:rsidRPr="00CF1032">
              <w:rPr>
                <w:rFonts w:ascii="Garamond" w:eastAsia="Calibri" w:hAnsi="Garamond"/>
                <w:highlight w:val="yellow"/>
              </w:rPr>
              <w:t>изменяемой</w:t>
            </w:r>
            <w:r w:rsidR="00B003D2" w:rsidRPr="00CF1032">
              <w:rPr>
                <w:rFonts w:ascii="Garamond" w:hAnsi="Garamond"/>
                <w:highlight w:val="yellow"/>
              </w:rPr>
              <w:t xml:space="preserve"> </w:t>
            </w:r>
            <w:r w:rsidR="001A6CF7" w:rsidRPr="00CF1032">
              <w:rPr>
                <w:rFonts w:ascii="Garamond" w:hAnsi="Garamond"/>
                <w:highlight w:val="yellow"/>
              </w:rPr>
              <w:t xml:space="preserve">схемы прикрепления) </w:t>
            </w:r>
            <w:r w:rsidRPr="00CF1032">
              <w:rPr>
                <w:rFonts w:ascii="Garamond" w:hAnsi="Garamond"/>
                <w:highlight w:val="yellow"/>
              </w:rPr>
              <w:t xml:space="preserve">с 1-го числа месяца </w:t>
            </w:r>
            <w:r w:rsidRPr="00CF1032">
              <w:rPr>
                <w:rFonts w:ascii="Garamond" w:hAnsi="Garamond"/>
                <w:i/>
                <w:highlight w:val="yellow"/>
              </w:rPr>
              <w:t>m</w:t>
            </w:r>
            <w:r w:rsidRPr="00CF1032">
              <w:rPr>
                <w:rFonts w:ascii="Garamond" w:hAnsi="Garamond"/>
                <w:highlight w:val="yellow"/>
              </w:rPr>
              <w:t>;</w:t>
            </w:r>
          </w:p>
          <w:p w14:paraId="7F539583" w14:textId="77777777" w:rsidR="00F54524" w:rsidRPr="00F54524" w:rsidRDefault="00F54524" w:rsidP="00F54524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CF1032">
              <w:rPr>
                <w:rFonts w:ascii="Garamond" w:hAnsi="Garamond"/>
                <w:highlight w:val="yellow"/>
              </w:rPr>
              <w:t xml:space="preserve">– для каждого месяца </w:t>
            </w:r>
            <w:r w:rsidRPr="00CF1032">
              <w:rPr>
                <w:rFonts w:ascii="Garamond" w:hAnsi="Garamond"/>
                <w:i/>
                <w:highlight w:val="yellow"/>
              </w:rPr>
              <w:t>m</w:t>
            </w:r>
            <w:r w:rsidRPr="00CF1032">
              <w:rPr>
                <w:rFonts w:ascii="Garamond" w:hAnsi="Garamond"/>
                <w:highlight w:val="yellow"/>
              </w:rPr>
              <w:t xml:space="preserve">’ в текущем периоде регулирования, начиная с месяца </w:t>
            </w:r>
            <w:r w:rsidRPr="003B621C">
              <w:rPr>
                <w:rFonts w:ascii="Garamond" w:hAnsi="Garamond"/>
                <w:i/>
                <w:highlight w:val="yellow"/>
              </w:rPr>
              <w:t>m</w:t>
            </w:r>
            <w:r w:rsidRPr="00CF1032">
              <w:rPr>
                <w:rFonts w:ascii="Garamond" w:hAnsi="Garamond"/>
                <w:highlight w:val="yellow"/>
              </w:rPr>
              <w:t xml:space="preserve">, в Сводном прогнозном </w:t>
            </w:r>
            <w:r w:rsidRPr="00F54524">
              <w:rPr>
                <w:rFonts w:ascii="Garamond" w:hAnsi="Garamond"/>
                <w:highlight w:val="yellow"/>
              </w:rPr>
              <w:t xml:space="preserve">балансе из всех генерирующих объектов, включенных в закрепленные за поставщиком </w:t>
            </w:r>
            <w:r w:rsidRPr="00F5129A">
              <w:rPr>
                <w:rFonts w:ascii="Garamond" w:hAnsi="Garamond"/>
                <w:i/>
                <w:highlight w:val="yellow"/>
              </w:rPr>
              <w:t>I</w:t>
            </w:r>
            <w:r w:rsidRPr="00F54524">
              <w:rPr>
                <w:rFonts w:ascii="Garamond" w:hAnsi="Garamond"/>
                <w:highlight w:val="yellow"/>
              </w:rPr>
              <w:t xml:space="preserve"> ГТП генерации, выбирается:</w:t>
            </w:r>
          </w:p>
          <w:p w14:paraId="449BC69D" w14:textId="77777777" w:rsidR="00F54524" w:rsidRPr="00F54524" w:rsidRDefault="00F54524" w:rsidP="00F54524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F54524">
              <w:rPr>
                <w:rFonts w:ascii="Garamond" w:hAnsi="Garamond"/>
                <w:highlight w:val="yellow"/>
              </w:rPr>
              <w:t xml:space="preserve">один генерирующий объект, для которого величина тарифа на электрическую энергию равна величине тарифа на электрическую энергию для объекта </w:t>
            </w:r>
            <w:r w:rsidRPr="00F5129A">
              <w:rPr>
                <w:rFonts w:ascii="Garamond" w:hAnsi="Garamond"/>
                <w:i/>
                <w:highlight w:val="yellow"/>
              </w:rPr>
              <w:t>G</w:t>
            </w:r>
            <w:r w:rsidRPr="00F54524">
              <w:rPr>
                <w:rFonts w:ascii="Garamond" w:hAnsi="Garamond"/>
                <w:highlight w:val="yellow"/>
              </w:rPr>
              <w:t>. Если таких объектов несколько, то выбирается объект, в отношении которого в Сводном прогнозном балансе определен наибольший годовой объем поставки электрической энергии;</w:t>
            </w:r>
          </w:p>
          <w:p w14:paraId="271F50F9" w14:textId="77777777" w:rsidR="00F54524" w:rsidRDefault="00F54524" w:rsidP="00F54524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F54524">
              <w:rPr>
                <w:rFonts w:ascii="Garamond" w:hAnsi="Garamond"/>
                <w:highlight w:val="yellow"/>
              </w:rPr>
              <w:t xml:space="preserve">либо, если такой объект отсутствует, два генерирующих объекта: один объект с максимальным тарифом на электрическую энергию среди всех генерирующих объектов поставщика </w:t>
            </w:r>
            <w:r w:rsidRPr="00CF1032">
              <w:rPr>
                <w:rFonts w:ascii="Garamond" w:hAnsi="Garamond"/>
                <w:i/>
                <w:highlight w:val="yellow"/>
              </w:rPr>
              <w:t>I</w:t>
            </w:r>
            <w:r w:rsidRPr="00F54524">
              <w:rPr>
                <w:rFonts w:ascii="Garamond" w:hAnsi="Garamond"/>
                <w:highlight w:val="yellow"/>
              </w:rPr>
              <w:t xml:space="preserve">, у которых величина тарифа на электрическую энергию меньше величины тарифа на электрическую энергию для объекта </w:t>
            </w:r>
            <w:r w:rsidRPr="00CF1032">
              <w:rPr>
                <w:rFonts w:ascii="Garamond" w:hAnsi="Garamond"/>
                <w:i/>
                <w:highlight w:val="yellow"/>
              </w:rPr>
              <w:t>G</w:t>
            </w:r>
            <w:r w:rsidRPr="00F54524">
              <w:rPr>
                <w:rFonts w:ascii="Garamond" w:hAnsi="Garamond"/>
                <w:highlight w:val="yellow"/>
              </w:rPr>
              <w:t xml:space="preserve"> (если таких объектов несколько, то выбирается объект, в отношении которого в Сводном прогнозном балансе определен наибольший годовой объем поставки электрической энергии), и второй объект с минимальным тарифом на электрическую энергию среди всех генерирующих объектов поставщика </w:t>
            </w:r>
            <w:r w:rsidRPr="00CF1032">
              <w:rPr>
                <w:rFonts w:ascii="Garamond" w:hAnsi="Garamond"/>
                <w:i/>
                <w:highlight w:val="yellow"/>
              </w:rPr>
              <w:t>I</w:t>
            </w:r>
            <w:r w:rsidRPr="00F54524">
              <w:rPr>
                <w:rFonts w:ascii="Garamond" w:hAnsi="Garamond"/>
                <w:highlight w:val="yellow"/>
              </w:rPr>
              <w:t xml:space="preserve">, у которых величина тарифа на электрическую энергию больше величины тарифа на электрическую энергию для объекта </w:t>
            </w:r>
            <w:r w:rsidRPr="00CF1032">
              <w:rPr>
                <w:rFonts w:ascii="Garamond" w:hAnsi="Garamond"/>
                <w:i/>
                <w:highlight w:val="yellow"/>
              </w:rPr>
              <w:t>G</w:t>
            </w:r>
            <w:r w:rsidRPr="00F54524">
              <w:rPr>
                <w:rFonts w:ascii="Garamond" w:hAnsi="Garamond"/>
                <w:highlight w:val="yellow"/>
              </w:rPr>
              <w:t xml:space="preserve"> (если таких объектов несколько, то выбирается объект, в отношении которого в Сводном прогнозном балансе определен наибольший годовой объем </w:t>
            </w:r>
            <w:r>
              <w:rPr>
                <w:rFonts w:ascii="Garamond" w:hAnsi="Garamond"/>
                <w:highlight w:val="yellow"/>
              </w:rPr>
              <w:t>поставки электрической энергии).</w:t>
            </w:r>
          </w:p>
          <w:p w14:paraId="7772356C" w14:textId="45209982" w:rsidR="00497342" w:rsidRPr="00740C7B" w:rsidRDefault="00F54524" w:rsidP="00740C7B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CF1032">
              <w:rPr>
                <w:rFonts w:ascii="Garamond" w:hAnsi="Garamond"/>
                <w:highlight w:val="yellow"/>
              </w:rPr>
              <w:t xml:space="preserve">В отношении ГТП генерации, содержащих указанные генерирующие объекты, </w:t>
            </w:r>
            <w:r w:rsidR="00B003D2" w:rsidRPr="00CF1032">
              <w:rPr>
                <w:rFonts w:ascii="Garamond" w:hAnsi="Garamond"/>
                <w:highlight w:val="yellow"/>
              </w:rPr>
              <w:t xml:space="preserve">в схему прикрепления </w:t>
            </w:r>
            <w:r w:rsidR="00D0403D" w:rsidRPr="00CF1032">
              <w:rPr>
                <w:rFonts w:ascii="Garamond" w:hAnsi="Garamond"/>
                <w:highlight w:val="yellow"/>
              </w:rPr>
              <w:t xml:space="preserve">вносятся изменения, </w:t>
            </w:r>
            <w:r w:rsidR="0030706A" w:rsidRPr="00CF1032">
              <w:rPr>
                <w:rFonts w:ascii="Garamond" w:hAnsi="Garamond"/>
                <w:highlight w:val="yellow"/>
              </w:rPr>
              <w:t xml:space="preserve">предусматривающие </w:t>
            </w:r>
            <w:r w:rsidR="0030706A" w:rsidRPr="00CF1032">
              <w:rPr>
                <w:rFonts w:ascii="Garamond" w:hAnsi="Garamond"/>
                <w:highlight w:val="yellow"/>
              </w:rPr>
              <w:lastRenderedPageBreak/>
              <w:t xml:space="preserve">добавление информации о сформированных новых регулируемых договорах, </w:t>
            </w:r>
            <w:r w:rsidR="00D0403D" w:rsidRPr="00CF1032">
              <w:rPr>
                <w:rFonts w:ascii="Garamond" w:hAnsi="Garamond"/>
                <w:highlight w:val="yellow"/>
              </w:rPr>
              <w:t>подлежащи</w:t>
            </w:r>
            <w:r w:rsidR="00F5129A">
              <w:rPr>
                <w:rFonts w:ascii="Garamond" w:hAnsi="Garamond"/>
                <w:highlight w:val="yellow"/>
              </w:rPr>
              <w:t>х заключению</w:t>
            </w:r>
            <w:r w:rsidRPr="00CF1032">
              <w:rPr>
                <w:rFonts w:ascii="Garamond" w:hAnsi="Garamond"/>
                <w:highlight w:val="yellow"/>
              </w:rPr>
              <w:t xml:space="preserve"> между теми же сторонами и на суммарные договорные объемы электрической </w:t>
            </w:r>
            <w:r w:rsidR="00955A76" w:rsidRPr="00CF1032">
              <w:rPr>
                <w:rFonts w:ascii="Garamond" w:hAnsi="Garamond"/>
                <w:highlight w:val="yellow"/>
              </w:rPr>
              <w:t xml:space="preserve">энергии </w:t>
            </w:r>
            <w:r w:rsidRPr="00CF1032">
              <w:rPr>
                <w:rFonts w:ascii="Garamond" w:hAnsi="Garamond"/>
                <w:highlight w:val="yellow"/>
              </w:rPr>
              <w:t xml:space="preserve">в отношении соответствующих месяцев </w:t>
            </w:r>
            <w:r w:rsidRPr="00CF1032">
              <w:rPr>
                <w:rFonts w:ascii="Garamond" w:hAnsi="Garamond"/>
                <w:i/>
                <w:highlight w:val="yellow"/>
              </w:rPr>
              <w:t>m</w:t>
            </w:r>
            <w:r w:rsidRPr="00CF1032">
              <w:rPr>
                <w:rFonts w:ascii="Garamond" w:hAnsi="Garamond"/>
                <w:highlight w:val="yellow"/>
              </w:rPr>
              <w:t xml:space="preserve">’, идентичные объемам </w:t>
            </w:r>
            <w:r w:rsidR="008E7A6E" w:rsidRPr="00CF1032">
              <w:rPr>
                <w:rFonts w:ascii="Garamond" w:hAnsi="Garamond"/>
                <w:highlight w:val="yellow"/>
              </w:rPr>
              <w:t xml:space="preserve">поставки электрической энергии по </w:t>
            </w:r>
            <w:r w:rsidR="008E7A6E" w:rsidRPr="00CF1032">
              <w:rPr>
                <w:rFonts w:ascii="Garamond" w:eastAsia="Calibri" w:hAnsi="Garamond"/>
                <w:highlight w:val="yellow"/>
              </w:rPr>
              <w:t>регулируемым договорам, информация о формировании которых</w:t>
            </w:r>
            <w:r w:rsidR="003A742D" w:rsidRPr="00CF1032">
              <w:rPr>
                <w:rFonts w:ascii="Garamond" w:eastAsia="Calibri" w:hAnsi="Garamond"/>
                <w:highlight w:val="yellow"/>
              </w:rPr>
              <w:t xml:space="preserve"> </w:t>
            </w:r>
            <w:r w:rsidR="003A742D" w:rsidRPr="00CF1032">
              <w:rPr>
                <w:rFonts w:ascii="Garamond" w:hAnsi="Garamond"/>
                <w:highlight w:val="yellow"/>
              </w:rPr>
              <w:t xml:space="preserve">в отношении ГТП генерации </w:t>
            </w:r>
            <w:r w:rsidR="003A742D" w:rsidRPr="00F5129A">
              <w:rPr>
                <w:rFonts w:ascii="Garamond" w:hAnsi="Garamond"/>
                <w:i/>
                <w:highlight w:val="yellow"/>
              </w:rPr>
              <w:t>GTP</w:t>
            </w:r>
            <w:r w:rsidR="003A742D" w:rsidRPr="00CF1032">
              <w:rPr>
                <w:rFonts w:ascii="Garamond" w:hAnsi="Garamond"/>
                <w:highlight w:val="yellow"/>
              </w:rPr>
              <w:t xml:space="preserve"> поставщика электрической энергии и мощности </w:t>
            </w:r>
            <w:r w:rsidR="003A742D" w:rsidRPr="00CF1032">
              <w:rPr>
                <w:rFonts w:ascii="Garamond" w:hAnsi="Garamond"/>
                <w:i/>
                <w:highlight w:val="yellow"/>
              </w:rPr>
              <w:t>I</w:t>
            </w:r>
            <w:r w:rsidR="008E7A6E" w:rsidRPr="00CF1032">
              <w:rPr>
                <w:rFonts w:ascii="Garamond" w:eastAsia="Calibri" w:hAnsi="Garamond"/>
                <w:highlight w:val="yellow"/>
              </w:rPr>
              <w:t xml:space="preserve"> содержится в утвержденной схеме прикрепления,</w:t>
            </w:r>
            <w:r w:rsidR="00A95DA5" w:rsidRPr="00CF1032">
              <w:rPr>
                <w:rFonts w:ascii="Garamond" w:hAnsi="Garamond"/>
                <w:highlight w:val="yellow"/>
              </w:rPr>
              <w:t xml:space="preserve"> или в</w:t>
            </w:r>
            <w:r w:rsidRPr="00CF1032">
              <w:rPr>
                <w:rFonts w:ascii="Garamond" w:hAnsi="Garamond"/>
                <w:highlight w:val="yellow"/>
              </w:rPr>
              <w:t xml:space="preserve"> договорах, заключенных в отношении ГТП генерации </w:t>
            </w:r>
            <w:r w:rsidRPr="00F5129A">
              <w:rPr>
                <w:rFonts w:ascii="Garamond" w:hAnsi="Garamond"/>
                <w:i/>
                <w:highlight w:val="yellow"/>
              </w:rPr>
              <w:t>GTP</w:t>
            </w:r>
            <w:r w:rsidRPr="00CF1032">
              <w:rPr>
                <w:rFonts w:ascii="Garamond" w:hAnsi="Garamond"/>
                <w:highlight w:val="yellow"/>
              </w:rPr>
              <w:t xml:space="preserve"> поставщика электрической энергии и мощности </w:t>
            </w:r>
            <w:r w:rsidRPr="00CF1032">
              <w:rPr>
                <w:rFonts w:ascii="Garamond" w:hAnsi="Garamond"/>
                <w:i/>
                <w:highlight w:val="yellow"/>
              </w:rPr>
              <w:t>I</w:t>
            </w:r>
            <w:r w:rsidRPr="00CF1032">
              <w:rPr>
                <w:rFonts w:ascii="Garamond" w:hAnsi="Garamond"/>
                <w:highlight w:val="yellow"/>
              </w:rPr>
              <w:t xml:space="preserve">. При этом в отношении месяцев </w:t>
            </w:r>
            <w:r w:rsidRPr="00CF1032">
              <w:rPr>
                <w:rFonts w:ascii="Garamond" w:hAnsi="Garamond"/>
                <w:i/>
                <w:highlight w:val="yellow"/>
              </w:rPr>
              <w:t>m</w:t>
            </w:r>
            <w:r w:rsidRPr="00CF1032">
              <w:rPr>
                <w:rFonts w:ascii="Garamond" w:hAnsi="Garamond"/>
                <w:highlight w:val="yellow"/>
              </w:rPr>
              <w:t xml:space="preserve">’, для которых в соответствии с вышеуказанным порядком было выбрано два генерирующих объекта, договорные </w:t>
            </w:r>
            <w:r w:rsidRPr="00F54524">
              <w:rPr>
                <w:rFonts w:ascii="Garamond" w:hAnsi="Garamond"/>
                <w:highlight w:val="yellow"/>
              </w:rPr>
              <w:t xml:space="preserve">объемы электрической энергии распределяются обратно пропорционально разнице между соответствующими тарифами на электрическую энергию указанных генерирующих объектов и тарифами для объекта </w:t>
            </w:r>
            <w:r w:rsidRPr="00F5129A">
              <w:rPr>
                <w:rFonts w:ascii="Garamond" w:hAnsi="Garamond"/>
                <w:i/>
                <w:highlight w:val="yellow"/>
              </w:rPr>
              <w:t>G</w:t>
            </w:r>
            <w:r w:rsidRPr="00F54524">
              <w:rPr>
                <w:rFonts w:ascii="Garamond" w:hAnsi="Garamond"/>
                <w:highlight w:val="yellow"/>
              </w:rPr>
              <w:t>. Объемы первого генерирующего объекта округляются вверх до целого числа кВт, объемы второго генерирующего объекта округляются вниз до целого числа кВт.</w:t>
            </w:r>
          </w:p>
        </w:tc>
      </w:tr>
      <w:bookmarkEnd w:id="5"/>
      <w:bookmarkEnd w:id="6"/>
      <w:bookmarkEnd w:id="7"/>
    </w:tbl>
    <w:p w14:paraId="6E618BBA" w14:textId="77777777" w:rsidR="00DF757D" w:rsidRDefault="00DF757D" w:rsidP="000E7DD4">
      <w:pPr>
        <w:pStyle w:val="2"/>
        <w:rPr>
          <w:sz w:val="26"/>
          <w:szCs w:val="26"/>
        </w:rPr>
      </w:pPr>
    </w:p>
    <w:p w14:paraId="2F3A41DA" w14:textId="3339B6C8" w:rsidR="00234833" w:rsidRPr="00740C7B" w:rsidRDefault="000E7DD4" w:rsidP="00740C7B">
      <w:pPr>
        <w:pStyle w:val="2"/>
        <w:rPr>
          <w:sz w:val="26"/>
          <w:szCs w:val="26"/>
        </w:rPr>
      </w:pPr>
      <w:r w:rsidRPr="00021F7C">
        <w:rPr>
          <w:sz w:val="26"/>
          <w:szCs w:val="26"/>
        </w:rPr>
        <w:t xml:space="preserve">Предложения по изменениям и дополнениям </w:t>
      </w:r>
      <w:r w:rsidR="000246E7">
        <w:rPr>
          <w:sz w:val="26"/>
          <w:szCs w:val="26"/>
        </w:rPr>
        <w:t>в</w:t>
      </w:r>
      <w:r w:rsidRPr="00021F7C">
        <w:rPr>
          <w:sz w:val="26"/>
          <w:szCs w:val="26"/>
        </w:rPr>
        <w:t xml:space="preserve"> </w:t>
      </w:r>
      <w:r w:rsidRPr="000E7DD4">
        <w:rPr>
          <w:sz w:val="26"/>
          <w:szCs w:val="26"/>
        </w:rPr>
        <w:t>ПОЛОЖЕНИ</w:t>
      </w:r>
      <w:r w:rsidR="000246E7">
        <w:rPr>
          <w:sz w:val="26"/>
          <w:szCs w:val="26"/>
        </w:rPr>
        <w:t>Е</w:t>
      </w:r>
      <w:r w:rsidRPr="000E7DD4">
        <w:rPr>
          <w:sz w:val="26"/>
          <w:szCs w:val="26"/>
        </w:rPr>
        <w:t xml:space="preserve"> О ПОРЯДКЕ ПОЛУЧЕНИЯ СТАТУСА СУБЪЕКТА ОПТОВОГО РЫНКА И ВЕДЕНИЯ РЕЕСТРА СУБЪЕКТОВ ОПТОВОГО РЫНКА</w:t>
      </w:r>
      <w:r>
        <w:rPr>
          <w:sz w:val="26"/>
          <w:szCs w:val="26"/>
        </w:rPr>
        <w:t xml:space="preserve"> (Приложение № 1.1</w:t>
      </w:r>
      <w:r w:rsidR="00CF1032">
        <w:rPr>
          <w:sz w:val="26"/>
          <w:szCs w:val="26"/>
        </w:rPr>
        <w:t xml:space="preserve"> к Договору о </w:t>
      </w:r>
      <w:r w:rsidRPr="00021F7C">
        <w:rPr>
          <w:sz w:val="26"/>
          <w:szCs w:val="26"/>
        </w:rPr>
        <w:t>присоединении к торговой системе оптового рынка)</w:t>
      </w:r>
    </w:p>
    <w:p w14:paraId="68FD1598" w14:textId="77777777" w:rsidR="00234833" w:rsidRDefault="00234833" w:rsidP="00234833">
      <w:pPr>
        <w:spacing w:after="0"/>
        <w:jc w:val="both"/>
        <w:outlineLvl w:val="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6914"/>
        <w:gridCol w:w="6917"/>
      </w:tblGrid>
      <w:tr w:rsidR="000E7DD4" w14:paraId="6D81B0F1" w14:textId="77777777" w:rsidTr="007538C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5A69" w14:textId="77777777" w:rsidR="000E7DD4" w:rsidRDefault="000E7DD4" w:rsidP="007538C3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4117" w14:textId="77777777" w:rsidR="000E7DD4" w:rsidRDefault="000E7DD4" w:rsidP="007538C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7BA4EC1D" w14:textId="77777777" w:rsidR="000E7DD4" w:rsidRDefault="000E7DD4" w:rsidP="007538C3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</w:rPr>
              <w:t xml:space="preserve"> вступления в силу изменений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0FCC" w14:textId="77777777" w:rsidR="000E7DD4" w:rsidRDefault="000E7DD4" w:rsidP="007538C3">
            <w:pPr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Предлагаемая редакция</w:t>
            </w:r>
            <w:r>
              <w:rPr>
                <w:rFonts w:ascii="Garamond" w:hAnsi="Garamond"/>
                <w:b/>
                <w:bCs/>
              </w:rPr>
              <w:br/>
            </w: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0E7DD4" w14:paraId="44897DE6" w14:textId="77777777" w:rsidTr="007538C3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F15C" w14:textId="77777777" w:rsidR="000E7DD4" w:rsidRPr="000E7DD4" w:rsidRDefault="000E7DD4" w:rsidP="000E7DD4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0E7DD4">
              <w:rPr>
                <w:rFonts w:ascii="Garamond" w:hAnsi="Garamond"/>
                <w:b/>
                <w:bCs/>
              </w:rPr>
              <w:t>5.4.2</w:t>
            </w:r>
          </w:p>
          <w:p w14:paraId="4BD11357" w14:textId="77777777" w:rsidR="000E7DD4" w:rsidRPr="00567495" w:rsidRDefault="000E7DD4" w:rsidP="007538C3">
            <w:pPr>
              <w:spacing w:before="120" w:after="120" w:line="240" w:lineRule="auto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BDEF" w14:textId="77777777" w:rsidR="00D22C3A" w:rsidRPr="00D22C3A" w:rsidRDefault="00D22C3A" w:rsidP="00D22C3A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D22C3A">
              <w:rPr>
                <w:rFonts w:ascii="Garamond" w:hAnsi="Garamond"/>
              </w:rPr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</w:t>
            </w:r>
            <w:proofErr w:type="spellStart"/>
            <w:r w:rsidRPr="00D22C3A">
              <w:rPr>
                <w:rFonts w:ascii="Garamond" w:hAnsi="Garamond"/>
              </w:rPr>
              <w:t>Совета</w:t>
            </w:r>
            <w:proofErr w:type="spellEnd"/>
            <w:r w:rsidRPr="00D22C3A">
              <w:rPr>
                <w:rFonts w:ascii="Garamond" w:hAnsi="Garamond"/>
              </w:rPr>
              <w:t xml:space="preserve"> рынка, с учетом следующих особенностей для отдельных категорий поставщиков электрической энергии (мощности):</w:t>
            </w:r>
          </w:p>
          <w:p w14:paraId="58863EAF" w14:textId="77777777" w:rsidR="00B67BEB" w:rsidRPr="00B67BEB" w:rsidRDefault="00B67BEB" w:rsidP="00B67BEB">
            <w:pPr>
              <w:numPr>
                <w:ilvl w:val="0"/>
                <w:numId w:val="29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B67BEB">
              <w:rPr>
                <w:rFonts w:ascii="Garamond" w:hAnsi="Garamond"/>
              </w:rPr>
              <w:t xml:space="preserve">для заключивших в отношении исключаемой ГТП регулируемые договоры в соответствии с требованиями п. 62 Правил </w:t>
            </w:r>
            <w:r w:rsidRPr="00B67BEB">
              <w:rPr>
                <w:rFonts w:ascii="Garamond" w:hAnsi="Garamond"/>
              </w:rPr>
              <w:lastRenderedPageBreak/>
              <w:t xml:space="preserve">оптового рынка – решение </w:t>
            </w:r>
            <w:r w:rsidRPr="00B67BEB">
              <w:rPr>
                <w:rFonts w:ascii="Garamond" w:hAnsi="Garamond"/>
                <w:iCs/>
              </w:rPr>
              <w:t xml:space="preserve">о лишении субъекта оптового рынка права на участие в торговле электрической энергией (мощностью) </w:t>
            </w:r>
            <w:r w:rsidRPr="00B67BEB">
              <w:rPr>
                <w:rFonts w:ascii="Garamond" w:hAnsi="Garamond"/>
              </w:rPr>
              <w:t xml:space="preserve">вступает в силу с 1 января очередного календарного года, но не ранее даты, установленной в решении Наблюдательного совета </w:t>
            </w:r>
            <w:proofErr w:type="spellStart"/>
            <w:r w:rsidRPr="00B67BEB">
              <w:rPr>
                <w:rFonts w:ascii="Garamond" w:hAnsi="Garamond"/>
              </w:rPr>
              <w:t>Совета</w:t>
            </w:r>
            <w:proofErr w:type="spellEnd"/>
            <w:r w:rsidRPr="00B67BEB">
              <w:rPr>
                <w:rFonts w:ascii="Garamond" w:hAnsi="Garamond"/>
              </w:rPr>
              <w:t xml:space="preserve"> рынка, за исключением следующих случаев:</w:t>
            </w:r>
          </w:p>
          <w:p w14:paraId="311F96A4" w14:textId="77777777" w:rsidR="00B67BEB" w:rsidRPr="00B67BEB" w:rsidRDefault="00B67BEB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B67BEB">
              <w:rPr>
                <w:szCs w:val="22"/>
              </w:rPr>
              <w:t xml:space="preserve">в случае если исключение ГТП не влечет за собой прекращение права на участие в торговле электрической энергией (мощностью) для субъекта оптового рынка в отношении всех ГТП, указанных хотя бы в одном из заключенных таким субъектом оптового рынка регулируемых договоров, и исключение ГТП связано с выводом из эксплуатации генерирующего оборудования или с перерегистрацией генерирующего оборудования в другую ГТП, в отношении которой субъектом оптового рынка заключены регулируемые договоры либо в отношении которой соблюдаются следующие условия: в отношении такой ГТП субъектом оптового рынка заключены договоры о предоставлении мощности, указанное генерирующее оборудование было модернизировано </w:t>
            </w:r>
            <w:r w:rsidRPr="00B67BEB">
              <w:rPr>
                <w:rFonts w:eastAsia="Calibri"/>
                <w:lang w:eastAsia="en-US"/>
              </w:rPr>
              <w:t>(в том числе в рамках реализации мероприятий по модернизации)</w:t>
            </w:r>
            <w:r w:rsidRPr="00B67BEB">
              <w:rPr>
                <w:szCs w:val="22"/>
              </w:rPr>
              <w:t xml:space="preserve">, перерегистрация генерирующего оборудования связана с началом поставки мощности по договорам о предоставлении мощности, решение о лишении субъекта оптового рынка права на участие в торговле электрической энергией (мощностью) вступает в силу с 1-го числа очередного календарного месяца, если иная дата не установлена в решении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рынка;</w:t>
            </w:r>
          </w:p>
          <w:p w14:paraId="23E2EDF7" w14:textId="77777777" w:rsidR="00B67BEB" w:rsidRPr="00B67BEB" w:rsidRDefault="00B67BEB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B67BEB">
              <w:rPr>
                <w:szCs w:val="22"/>
              </w:rPr>
              <w:t xml:space="preserve">в случае если исключение ГТП влечет за собой прекращение права на участие в торговле электрической энергией (мощностью) для субъекта оптового рынка в отношении всех ГТП, указанных хотя бы в одном из заключенных таким субъектом оптового рынка регулируемых договоров, и суммарные объемы поставки электрической энергии и мощности по регулируемым договорам, заключенным субъектом оптового рынка в отношении исключаемой ГТП, определенные в соответствии со схемой прикрепления по регулируемым договорам, утвержденной решением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рынка, равны нулю за период с 1-го числа какого-либо месяца до конца текущего календарного года, решение о лишении субъекта оптового рынка права на участие в торговле электрической энергией (мощностью) вступает в силу с 1-го числа такого месяца, если иная дата не установлена в решении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рынка;</w:t>
            </w:r>
          </w:p>
          <w:p w14:paraId="53CFF525" w14:textId="77777777" w:rsidR="000E7DD4" w:rsidRDefault="00B67BEB" w:rsidP="007538C3">
            <w:pPr>
              <w:pStyle w:val="5"/>
              <w:numPr>
                <w:ilvl w:val="0"/>
                <w:numId w:val="0"/>
              </w:numPr>
              <w:ind w:firstLine="52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…</w:t>
            </w:r>
          </w:p>
          <w:p w14:paraId="6BFC732A" w14:textId="77777777" w:rsidR="003F6835" w:rsidRPr="00075BF1" w:rsidRDefault="003F6835" w:rsidP="007538C3">
            <w:pPr>
              <w:pStyle w:val="5"/>
              <w:numPr>
                <w:ilvl w:val="0"/>
                <w:numId w:val="0"/>
              </w:numPr>
              <w:ind w:firstLine="527"/>
              <w:rPr>
                <w:rFonts w:ascii="Garamond" w:hAnsi="Garamond"/>
              </w:rPr>
            </w:pP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395" w14:textId="77777777" w:rsidR="00D22C3A" w:rsidRPr="00A946DB" w:rsidRDefault="00D22C3A" w:rsidP="00D22C3A">
            <w:pPr>
              <w:tabs>
                <w:tab w:val="left" w:pos="709"/>
                <w:tab w:val="left" w:pos="1134"/>
              </w:tabs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A946DB">
              <w:rPr>
                <w:rFonts w:ascii="Garamond" w:hAnsi="Garamond"/>
              </w:rPr>
              <w:lastRenderedPageBreak/>
              <w:t xml:space="preserve">Решение о лишении права на участие в торговле электрической энергией (мощностью) в отношении ГТП поставщиков электрической энергии (мощности), если иное не установлено настоящим пунктом, принимается Наблюдательным советом Совета рынка и вступает в силу с даты, установленной в решении Наблюдательного совета </w:t>
            </w:r>
            <w:proofErr w:type="spellStart"/>
            <w:r w:rsidRPr="00A946DB">
              <w:rPr>
                <w:rFonts w:ascii="Garamond" w:hAnsi="Garamond"/>
              </w:rPr>
              <w:t>Совета</w:t>
            </w:r>
            <w:proofErr w:type="spellEnd"/>
            <w:r w:rsidRPr="00A946DB">
              <w:rPr>
                <w:rFonts w:ascii="Garamond" w:hAnsi="Garamond"/>
              </w:rPr>
              <w:t xml:space="preserve"> рынка, с учетом следующих особенностей для отдельных категорий поставщиков электрической энергии (мощности):</w:t>
            </w:r>
          </w:p>
          <w:p w14:paraId="458B28C0" w14:textId="77777777" w:rsidR="00B67BEB" w:rsidRPr="00B67BEB" w:rsidRDefault="00B67BEB" w:rsidP="00B67BEB">
            <w:pPr>
              <w:numPr>
                <w:ilvl w:val="0"/>
                <w:numId w:val="29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</w:rPr>
            </w:pPr>
            <w:r w:rsidRPr="00B67BEB">
              <w:rPr>
                <w:rFonts w:ascii="Garamond" w:hAnsi="Garamond"/>
              </w:rPr>
              <w:t xml:space="preserve">для заключивших в отношении исключаемой ГТП регулируемые договоры в соответствии с требованиями п. 62 Правил </w:t>
            </w:r>
            <w:r w:rsidRPr="00B67BEB">
              <w:rPr>
                <w:rFonts w:ascii="Garamond" w:hAnsi="Garamond"/>
              </w:rPr>
              <w:lastRenderedPageBreak/>
              <w:t xml:space="preserve">оптового рынка – решение </w:t>
            </w:r>
            <w:r w:rsidRPr="00B67BEB">
              <w:rPr>
                <w:rFonts w:ascii="Garamond" w:hAnsi="Garamond"/>
                <w:iCs/>
              </w:rPr>
              <w:t xml:space="preserve">о лишении субъекта оптового рынка права на участие в торговле электрической энергией (мощностью) </w:t>
            </w:r>
            <w:r w:rsidRPr="00B67BEB">
              <w:rPr>
                <w:rFonts w:ascii="Garamond" w:hAnsi="Garamond"/>
              </w:rPr>
              <w:t xml:space="preserve">вступает в силу с 1 января очередного календарного года, но не ранее даты, установленной в решении Наблюдательного совета </w:t>
            </w:r>
            <w:proofErr w:type="spellStart"/>
            <w:r w:rsidRPr="00B67BEB">
              <w:rPr>
                <w:rFonts w:ascii="Garamond" w:hAnsi="Garamond"/>
              </w:rPr>
              <w:t>Совета</w:t>
            </w:r>
            <w:proofErr w:type="spellEnd"/>
            <w:r w:rsidRPr="00B67BEB">
              <w:rPr>
                <w:rFonts w:ascii="Garamond" w:hAnsi="Garamond"/>
              </w:rPr>
              <w:t xml:space="preserve"> рынка, за исключением следующих случаев:</w:t>
            </w:r>
          </w:p>
          <w:p w14:paraId="06A71DA1" w14:textId="77777777" w:rsidR="00B67BEB" w:rsidRPr="00B67BEB" w:rsidRDefault="00B67BEB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B67BEB">
              <w:rPr>
                <w:szCs w:val="22"/>
              </w:rPr>
              <w:t xml:space="preserve">в случае если исключение ГТП не влечет за собой прекращение права на участие в торговле электрической энергией (мощностью) для субъекта оптового рынка в отношении всех ГТП, указанных хотя бы в одном из заключенных таким субъектом оптового рынка регулируемых договоров, и исключение ГТП связано с выводом из эксплуатации генерирующего оборудования или с перерегистрацией генерирующего оборудования в другую ГТП, в отношении которой субъектом оптового рынка заключены регулируемые договоры либо в отношении которой соблюдаются следующие условия: в отношении такой ГТП субъектом оптового рынка заключены договоры о предоставлении мощности, указанное генерирующее оборудование было модернизировано </w:t>
            </w:r>
            <w:r w:rsidRPr="00B67BEB">
              <w:rPr>
                <w:rFonts w:eastAsia="Calibri"/>
                <w:lang w:eastAsia="en-US"/>
              </w:rPr>
              <w:t>(в том числе в рамках реализации мероприятий по модернизации)</w:t>
            </w:r>
            <w:r w:rsidRPr="00B67BEB">
              <w:rPr>
                <w:szCs w:val="22"/>
              </w:rPr>
              <w:t xml:space="preserve">, перерегистрация генерирующего оборудования связана с началом поставки мощности по договорам о предоставлении мощности, решение о лишении субъекта оптового рынка права на участие в торговле электрической энергией (мощностью) вступает в силу с 1-го числа очередного календарного месяца, если иная дата не установлена в решении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рынка;</w:t>
            </w:r>
          </w:p>
          <w:p w14:paraId="54284EBA" w14:textId="77777777" w:rsidR="00B67BEB" w:rsidRDefault="00B67BEB" w:rsidP="00B67BEB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B67BEB">
              <w:rPr>
                <w:szCs w:val="22"/>
              </w:rPr>
              <w:t xml:space="preserve">в случае если исключение ГТП влечет за собой прекращение права на участие в торговле электрической энергией (мощностью) для субъекта оптового рынка в отношении всех ГТП, указанных хотя бы в одном из заключенных таким субъектом оптового рынка регулируемых договоров, и суммарные объемы поставки электрической энергии и мощности по регулируемым договорам, заключенным субъектом оптового рынка в отношении исключаемой ГТП, определенные в соответствии со схемой прикрепления по регулируемым договорам, утвержденной решением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рынка, равны нулю за период с 1-го числа какого-либо месяца до конца текущего календарного года, решение о лишении субъекта оптового рынка права на участие в торговле электрической энергией (мощностью) вступает в силу с 1-го числа такого месяца, если иная дата не установлена в решении Наблюдательного совета </w:t>
            </w:r>
            <w:proofErr w:type="spellStart"/>
            <w:r w:rsidRPr="00B67BEB">
              <w:rPr>
                <w:szCs w:val="22"/>
              </w:rPr>
              <w:t>Совета</w:t>
            </w:r>
            <w:proofErr w:type="spellEnd"/>
            <w:r w:rsidRPr="00B67BEB">
              <w:rPr>
                <w:szCs w:val="22"/>
              </w:rPr>
              <w:t xml:space="preserve"> рынка;</w:t>
            </w:r>
          </w:p>
          <w:p w14:paraId="296119FA" w14:textId="047D1B79" w:rsidR="00A06FC9" w:rsidRPr="00CF1032" w:rsidRDefault="00542B36" w:rsidP="00A06FC9">
            <w:pPr>
              <w:pStyle w:val="21"/>
              <w:numPr>
                <w:ilvl w:val="0"/>
                <w:numId w:val="30"/>
              </w:numPr>
              <w:tabs>
                <w:tab w:val="left" w:pos="960"/>
              </w:tabs>
              <w:spacing w:before="120" w:after="120"/>
              <w:ind w:left="0" w:firstLine="0"/>
              <w:contextualSpacing/>
              <w:rPr>
                <w:szCs w:val="22"/>
                <w:highlight w:val="yellow"/>
              </w:rPr>
            </w:pPr>
            <w:r w:rsidRPr="0004033A">
              <w:rPr>
                <w:szCs w:val="22"/>
                <w:highlight w:val="yellow"/>
              </w:rPr>
              <w:lastRenderedPageBreak/>
              <w:t xml:space="preserve">в случае если </w:t>
            </w:r>
            <w:r>
              <w:rPr>
                <w:szCs w:val="22"/>
                <w:highlight w:val="yellow"/>
              </w:rPr>
              <w:t xml:space="preserve">исключение </w:t>
            </w:r>
            <w:r w:rsidRPr="0004033A">
              <w:rPr>
                <w:szCs w:val="22"/>
                <w:highlight w:val="yellow"/>
              </w:rPr>
              <w:t>ГТП</w:t>
            </w:r>
            <w:r>
              <w:rPr>
                <w:szCs w:val="22"/>
                <w:highlight w:val="yellow"/>
              </w:rPr>
              <w:t xml:space="preserve"> генерации</w:t>
            </w:r>
            <w:r w:rsidRPr="0004033A">
              <w:rPr>
                <w:szCs w:val="22"/>
                <w:highlight w:val="yellow"/>
              </w:rPr>
              <w:t>, сформированной в отношении генерирующего оборудования КОММод, функционирующего до реализации мероприятий по модернизации,</w:t>
            </w:r>
            <w:r>
              <w:rPr>
                <w:szCs w:val="22"/>
                <w:highlight w:val="yellow"/>
              </w:rPr>
              <w:t xml:space="preserve"> в состав которого входит (-</w:t>
            </w:r>
            <w:proofErr w:type="spellStart"/>
            <w:r>
              <w:rPr>
                <w:szCs w:val="22"/>
                <w:highlight w:val="yellow"/>
              </w:rPr>
              <w:t>ят</w:t>
            </w:r>
            <w:proofErr w:type="spellEnd"/>
            <w:r>
              <w:rPr>
                <w:szCs w:val="22"/>
                <w:highlight w:val="yellow"/>
              </w:rPr>
              <w:t>) турбина (-ы), вывод из эксплуатации кот</w:t>
            </w:r>
            <w:r w:rsidR="00625CC0">
              <w:rPr>
                <w:szCs w:val="22"/>
                <w:highlight w:val="yellow"/>
              </w:rPr>
              <w:t>о</w:t>
            </w:r>
            <w:r>
              <w:rPr>
                <w:szCs w:val="22"/>
                <w:highlight w:val="yellow"/>
              </w:rPr>
              <w:t>ро</w:t>
            </w:r>
            <w:r w:rsidR="00F5129A">
              <w:rPr>
                <w:szCs w:val="22"/>
                <w:highlight w:val="yellow"/>
              </w:rPr>
              <w:t>й</w:t>
            </w:r>
            <w:r>
              <w:rPr>
                <w:szCs w:val="22"/>
                <w:highlight w:val="yellow"/>
              </w:rPr>
              <w:t xml:space="preserve"> (-ых) не предусмотрен в Перечне объектов КОММод,</w:t>
            </w:r>
            <w:r w:rsidRPr="0004033A">
              <w:rPr>
                <w:szCs w:val="22"/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связано </w:t>
            </w:r>
            <w:r w:rsidRPr="00A63DE3">
              <w:rPr>
                <w:rFonts w:eastAsia="Calibri"/>
                <w:bCs/>
                <w:iCs/>
                <w:highlight w:val="yellow"/>
              </w:rPr>
              <w:t xml:space="preserve">с </w:t>
            </w:r>
            <w:r>
              <w:rPr>
                <w:rFonts w:eastAsia="Calibri"/>
                <w:bCs/>
                <w:iCs/>
                <w:highlight w:val="yellow"/>
              </w:rPr>
              <w:t xml:space="preserve">выполнением заявителем требований, предусмотренных п. 4.1.5 настоящего Положения (в том числе если указанный </w:t>
            </w:r>
            <w:r w:rsidRPr="00ED4DFB">
              <w:rPr>
                <w:rFonts w:eastAsia="Calibri"/>
                <w:bCs/>
                <w:iCs/>
                <w:highlight w:val="yellow"/>
              </w:rPr>
              <w:t>случай относится к одному из вышеперечислен</w:t>
            </w:r>
            <w:r w:rsidR="00DD01E7">
              <w:rPr>
                <w:rFonts w:eastAsia="Calibri"/>
                <w:bCs/>
                <w:iCs/>
                <w:highlight w:val="yellow"/>
              </w:rPr>
              <w:t>ных в настоящем пункте случаев)</w:t>
            </w:r>
            <w:r w:rsidR="009B6027" w:rsidRPr="00ED4DFB">
              <w:rPr>
                <w:highlight w:val="yellow"/>
              </w:rPr>
              <w:t>,</w:t>
            </w:r>
            <w:r w:rsidR="009B6027" w:rsidRPr="00ED4DFB">
              <w:rPr>
                <w:sz w:val="26"/>
                <w:szCs w:val="26"/>
                <w:highlight w:val="yellow"/>
              </w:rPr>
              <w:t xml:space="preserve"> </w:t>
            </w:r>
            <w:r w:rsidRPr="00A06FC9">
              <w:rPr>
                <w:rFonts w:eastAsia="Calibri"/>
                <w:bCs/>
                <w:iCs/>
                <w:highlight w:val="yellow"/>
              </w:rPr>
              <w:t xml:space="preserve">указанное решение вступает в силу </w:t>
            </w:r>
            <w:r w:rsidRPr="00A06FC9">
              <w:rPr>
                <w:szCs w:val="22"/>
                <w:highlight w:val="yellow"/>
              </w:rPr>
              <w:t xml:space="preserve">в порядке, предусмотренном настоящим пунктом для случая лишения права на участие в торговле </w:t>
            </w:r>
            <w:r w:rsidRPr="00047ABC">
              <w:rPr>
                <w:szCs w:val="22"/>
                <w:highlight w:val="yellow"/>
              </w:rPr>
              <w:t xml:space="preserve">электрической энергией (мощностью) с использованием такой </w:t>
            </w:r>
            <w:r w:rsidRPr="00CF1032">
              <w:rPr>
                <w:szCs w:val="22"/>
                <w:highlight w:val="yellow"/>
              </w:rPr>
              <w:t>ГТП</w:t>
            </w:r>
            <w:r w:rsidR="006C55EF" w:rsidRPr="00CF1032">
              <w:rPr>
                <w:szCs w:val="22"/>
                <w:highlight w:val="yellow"/>
              </w:rPr>
              <w:t xml:space="preserve">, но не ранее </w:t>
            </w:r>
            <w:r w:rsidR="00A06FC9" w:rsidRPr="00CF1032">
              <w:rPr>
                <w:szCs w:val="22"/>
                <w:highlight w:val="yellow"/>
              </w:rPr>
              <w:t>даты начала поставки мощности по договорам на модернизацию, заключенным в отношении данной ГТП, указанной в приложении 1 к договору на модернизацию.</w:t>
            </w:r>
          </w:p>
          <w:p w14:paraId="0D2E4E96" w14:textId="77777777" w:rsidR="000E7DD4" w:rsidRPr="00DF757D" w:rsidRDefault="0004033A" w:rsidP="00DF757D">
            <w:pPr>
              <w:pStyle w:val="21"/>
              <w:tabs>
                <w:tab w:val="left" w:pos="960"/>
              </w:tabs>
              <w:spacing w:before="120" w:after="120"/>
              <w:ind w:left="600"/>
              <w:contextualSpacing/>
              <w:rPr>
                <w:szCs w:val="22"/>
              </w:rPr>
            </w:pPr>
            <w:r>
              <w:rPr>
                <w:iCs/>
                <w:szCs w:val="22"/>
              </w:rPr>
              <w:t>…</w:t>
            </w:r>
          </w:p>
        </w:tc>
      </w:tr>
    </w:tbl>
    <w:p w14:paraId="047C3C31" w14:textId="77777777" w:rsidR="005578C2" w:rsidRDefault="005578C2" w:rsidP="00014D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b/>
          <w:sz w:val="24"/>
          <w:szCs w:val="24"/>
        </w:rPr>
      </w:pPr>
    </w:p>
    <w:p w14:paraId="70928910" w14:textId="77777777" w:rsidR="005578C2" w:rsidRDefault="005578C2" w:rsidP="00014D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b/>
          <w:sz w:val="24"/>
          <w:szCs w:val="24"/>
        </w:rPr>
      </w:pPr>
    </w:p>
    <w:sectPr w:rsidR="005578C2" w:rsidSect="00CF1032">
      <w:footerReference w:type="default" r:id="rId8"/>
      <w:pgSz w:w="16838" w:h="11906" w:orient="landscape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08269" w14:textId="77777777" w:rsidR="003D029C" w:rsidRDefault="003D029C" w:rsidP="00921BD7">
      <w:pPr>
        <w:spacing w:after="0" w:line="240" w:lineRule="auto"/>
      </w:pPr>
      <w:r>
        <w:separator/>
      </w:r>
    </w:p>
  </w:endnote>
  <w:endnote w:type="continuationSeparator" w:id="0">
    <w:p w14:paraId="1A0A6900" w14:textId="77777777" w:rsidR="003D029C" w:rsidRDefault="003D029C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830369"/>
      <w:docPartObj>
        <w:docPartGallery w:val="Page Numbers (Bottom of Page)"/>
        <w:docPartUnique/>
      </w:docPartObj>
    </w:sdtPr>
    <w:sdtEndPr/>
    <w:sdtContent>
      <w:p w14:paraId="79144DE8" w14:textId="0194B783" w:rsidR="000862A5" w:rsidRDefault="000862A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93B">
          <w:rPr>
            <w:noProof/>
          </w:rPr>
          <w:t>4</w:t>
        </w:r>
        <w:r>
          <w:fldChar w:fldCharType="end"/>
        </w:r>
      </w:p>
    </w:sdtContent>
  </w:sdt>
  <w:p w14:paraId="1AFDB46B" w14:textId="77777777" w:rsidR="000862A5" w:rsidRDefault="000862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9B689" w14:textId="77777777" w:rsidR="003D029C" w:rsidRDefault="003D029C" w:rsidP="00921BD7">
      <w:pPr>
        <w:spacing w:after="0" w:line="240" w:lineRule="auto"/>
      </w:pPr>
      <w:r>
        <w:separator/>
      </w:r>
    </w:p>
  </w:footnote>
  <w:footnote w:type="continuationSeparator" w:id="0">
    <w:p w14:paraId="28ADBA1D" w14:textId="77777777" w:rsidR="003D029C" w:rsidRDefault="003D029C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46A00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7FE5528"/>
    <w:multiLevelType w:val="hybridMultilevel"/>
    <w:tmpl w:val="403C8C66"/>
    <w:lvl w:ilvl="0" w:tplc="7A3CED7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2450438"/>
    <w:multiLevelType w:val="hybridMultilevel"/>
    <w:tmpl w:val="3B7C8FD4"/>
    <w:lvl w:ilvl="0" w:tplc="8F321A46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8F5044"/>
    <w:multiLevelType w:val="hybridMultilevel"/>
    <w:tmpl w:val="104A3412"/>
    <w:lvl w:ilvl="0" w:tplc="80C0C31A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CD2903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8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9" w15:restartNumberingAfterBreak="0">
    <w:nsid w:val="25CA6E3B"/>
    <w:multiLevelType w:val="hybridMultilevel"/>
    <w:tmpl w:val="4D54F7B2"/>
    <w:lvl w:ilvl="0" w:tplc="4BF09996">
      <w:start w:val="1"/>
      <w:numFmt w:val="bullet"/>
      <w:lvlText w:val="−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76D2AE1"/>
    <w:multiLevelType w:val="hybridMultilevel"/>
    <w:tmpl w:val="D80609A2"/>
    <w:lvl w:ilvl="0" w:tplc="81DAE748">
      <w:start w:val="2"/>
      <w:numFmt w:val="decimal"/>
      <w:lvlText w:val="%1)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1" w15:restartNumberingAfterBreak="0">
    <w:nsid w:val="27CB51DD"/>
    <w:multiLevelType w:val="multilevel"/>
    <w:tmpl w:val="B96E4E4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7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1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440"/>
      </w:pPr>
      <w:rPr>
        <w:rFonts w:hint="default"/>
      </w:rPr>
    </w:lvl>
  </w:abstractNum>
  <w:abstractNum w:abstractNumId="12" w15:restartNumberingAfterBreak="0">
    <w:nsid w:val="2A0657B1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BF33539"/>
    <w:multiLevelType w:val="hybridMultilevel"/>
    <w:tmpl w:val="767AB8E8"/>
    <w:lvl w:ilvl="0" w:tplc="4D6465F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A05BF"/>
    <w:multiLevelType w:val="multilevel"/>
    <w:tmpl w:val="F3EE919A"/>
    <w:lvl w:ilvl="0">
      <w:start w:val="9"/>
      <w:numFmt w:val="decimal"/>
      <w:lvlText w:val="%15.6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  <w:b/>
      </w:rPr>
    </w:lvl>
    <w:lvl w:ilvl="2">
      <w:start w:val="2"/>
      <w:numFmt w:val="decimal"/>
      <w:lvlRestart w:val="0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5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FCA1901"/>
    <w:multiLevelType w:val="hybridMultilevel"/>
    <w:tmpl w:val="04EACEE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A97502"/>
    <w:multiLevelType w:val="multilevel"/>
    <w:tmpl w:val="5730630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3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96" w:hanging="1440"/>
      </w:pPr>
      <w:rPr>
        <w:rFonts w:hint="default"/>
      </w:rPr>
    </w:lvl>
  </w:abstractNum>
  <w:abstractNum w:abstractNumId="18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D8A0533"/>
    <w:multiLevelType w:val="multilevel"/>
    <w:tmpl w:val="3F5C15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F0611FC"/>
    <w:multiLevelType w:val="hybridMultilevel"/>
    <w:tmpl w:val="91EC7C1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413A1467"/>
    <w:multiLevelType w:val="hybridMultilevel"/>
    <w:tmpl w:val="3766AC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97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25" w15:restartNumberingAfterBreak="0">
    <w:nsid w:val="4ED32F11"/>
    <w:multiLevelType w:val="multilevel"/>
    <w:tmpl w:val="98CA15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F246ED"/>
    <w:multiLevelType w:val="hybridMultilevel"/>
    <w:tmpl w:val="76541702"/>
    <w:lvl w:ilvl="0" w:tplc="81DAE748">
      <w:start w:val="2"/>
      <w:numFmt w:val="decimal"/>
      <w:lvlText w:val="%1)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27" w15:restartNumberingAfterBreak="0">
    <w:nsid w:val="5951358A"/>
    <w:multiLevelType w:val="multilevel"/>
    <w:tmpl w:val="3F5C15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0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49A339D"/>
    <w:multiLevelType w:val="multilevel"/>
    <w:tmpl w:val="B9300A7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34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FDD405C"/>
    <w:multiLevelType w:val="multilevel"/>
    <w:tmpl w:val="98F095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7" w15:restartNumberingAfterBreak="0">
    <w:nsid w:val="75C31D69"/>
    <w:multiLevelType w:val="multilevel"/>
    <w:tmpl w:val="FC027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4"/>
  </w:num>
  <w:num w:numId="3">
    <w:abstractNumId w:val="38"/>
  </w:num>
  <w:num w:numId="4">
    <w:abstractNumId w:val="36"/>
  </w:num>
  <w:num w:numId="5">
    <w:abstractNumId w:val="29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30"/>
  </w:num>
  <w:num w:numId="11">
    <w:abstractNumId w:val="22"/>
  </w:num>
  <w:num w:numId="12">
    <w:abstractNumId w:val="15"/>
  </w:num>
  <w:num w:numId="13">
    <w:abstractNumId w:val="10"/>
  </w:num>
  <w:num w:numId="14">
    <w:abstractNumId w:val="24"/>
  </w:num>
  <w:num w:numId="15">
    <w:abstractNumId w:val="23"/>
  </w:num>
  <w:num w:numId="16">
    <w:abstractNumId w:val="19"/>
  </w:num>
  <w:num w:numId="17">
    <w:abstractNumId w:val="32"/>
  </w:num>
  <w:num w:numId="18">
    <w:abstractNumId w:val="18"/>
  </w:num>
  <w:num w:numId="19">
    <w:abstractNumId w:val="28"/>
  </w:num>
  <w:num w:numId="20">
    <w:abstractNumId w:val="1"/>
  </w:num>
  <w:num w:numId="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16"/>
  </w:num>
  <w:num w:numId="24">
    <w:abstractNumId w:val="25"/>
  </w:num>
  <w:num w:numId="25">
    <w:abstractNumId w:val="37"/>
  </w:num>
  <w:num w:numId="26">
    <w:abstractNumId w:val="3"/>
  </w:num>
  <w:num w:numId="27">
    <w:abstractNumId w:val="35"/>
  </w:num>
  <w:num w:numId="28">
    <w:abstractNumId w:val="3"/>
  </w:num>
  <w:num w:numId="29">
    <w:abstractNumId w:val="9"/>
  </w:num>
  <w:num w:numId="30">
    <w:abstractNumId w:val="21"/>
  </w:num>
  <w:num w:numId="31">
    <w:abstractNumId w:val="3"/>
  </w:num>
  <w:num w:numId="32">
    <w:abstractNumId w:val="3"/>
  </w:num>
  <w:num w:numId="33">
    <w:abstractNumId w:val="26"/>
  </w:num>
  <w:num w:numId="34">
    <w:abstractNumId w:val="2"/>
  </w:num>
  <w:num w:numId="35">
    <w:abstractNumId w:val="13"/>
  </w:num>
  <w:num w:numId="36">
    <w:abstractNumId w:val="6"/>
  </w:num>
  <w:num w:numId="37">
    <w:abstractNumId w:val="7"/>
  </w:num>
  <w:num w:numId="38">
    <w:abstractNumId w:val="14"/>
  </w:num>
  <w:num w:numId="39">
    <w:abstractNumId w:val="20"/>
  </w:num>
  <w:num w:numId="40">
    <w:abstractNumId w:val="27"/>
  </w:num>
  <w:num w:numId="41">
    <w:abstractNumId w:val="31"/>
  </w:num>
  <w:num w:numId="42">
    <w:abstractNumId w:val="11"/>
  </w:num>
  <w:num w:numId="43">
    <w:abstractNumId w:val="17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13D03"/>
    <w:rsid w:val="00014D54"/>
    <w:rsid w:val="00016982"/>
    <w:rsid w:val="00021F7C"/>
    <w:rsid w:val="00021FA1"/>
    <w:rsid w:val="000236A0"/>
    <w:rsid w:val="000241AE"/>
    <w:rsid w:val="000246E7"/>
    <w:rsid w:val="00031D59"/>
    <w:rsid w:val="00033483"/>
    <w:rsid w:val="00034228"/>
    <w:rsid w:val="000355C6"/>
    <w:rsid w:val="0004033A"/>
    <w:rsid w:val="0004445C"/>
    <w:rsid w:val="00047ABC"/>
    <w:rsid w:val="0006722D"/>
    <w:rsid w:val="00075BF1"/>
    <w:rsid w:val="00080A83"/>
    <w:rsid w:val="000862A5"/>
    <w:rsid w:val="0008665B"/>
    <w:rsid w:val="00096FF1"/>
    <w:rsid w:val="000A0623"/>
    <w:rsid w:val="000A2AFB"/>
    <w:rsid w:val="000A3DC9"/>
    <w:rsid w:val="000A67A9"/>
    <w:rsid w:val="000B6B65"/>
    <w:rsid w:val="000C627E"/>
    <w:rsid w:val="000D4CF8"/>
    <w:rsid w:val="000E3F50"/>
    <w:rsid w:val="000E7DD4"/>
    <w:rsid w:val="000F114F"/>
    <w:rsid w:val="000F34B1"/>
    <w:rsid w:val="000F5288"/>
    <w:rsid w:val="001060BE"/>
    <w:rsid w:val="001115BD"/>
    <w:rsid w:val="001226D7"/>
    <w:rsid w:val="001228DD"/>
    <w:rsid w:val="00123CA3"/>
    <w:rsid w:val="001320F0"/>
    <w:rsid w:val="00135A38"/>
    <w:rsid w:val="00141F04"/>
    <w:rsid w:val="00143CA2"/>
    <w:rsid w:val="0014721C"/>
    <w:rsid w:val="00153036"/>
    <w:rsid w:val="00157113"/>
    <w:rsid w:val="00161528"/>
    <w:rsid w:val="001641F6"/>
    <w:rsid w:val="001660DA"/>
    <w:rsid w:val="00170976"/>
    <w:rsid w:val="001879ED"/>
    <w:rsid w:val="00191C97"/>
    <w:rsid w:val="00193781"/>
    <w:rsid w:val="001A155B"/>
    <w:rsid w:val="001A1B18"/>
    <w:rsid w:val="001A272C"/>
    <w:rsid w:val="001A42B3"/>
    <w:rsid w:val="001A6CF7"/>
    <w:rsid w:val="001B1FA5"/>
    <w:rsid w:val="001B6625"/>
    <w:rsid w:val="001C273D"/>
    <w:rsid w:val="001C3A2D"/>
    <w:rsid w:val="001C4C15"/>
    <w:rsid w:val="001C5934"/>
    <w:rsid w:val="001C675B"/>
    <w:rsid w:val="001C7568"/>
    <w:rsid w:val="001D2ECE"/>
    <w:rsid w:val="001D68C2"/>
    <w:rsid w:val="001E2BD6"/>
    <w:rsid w:val="001E4605"/>
    <w:rsid w:val="001E5B4E"/>
    <w:rsid w:val="001E5DD8"/>
    <w:rsid w:val="00203721"/>
    <w:rsid w:val="00207508"/>
    <w:rsid w:val="002103D1"/>
    <w:rsid w:val="002104A3"/>
    <w:rsid w:val="00212449"/>
    <w:rsid w:val="00230712"/>
    <w:rsid w:val="00234833"/>
    <w:rsid w:val="00234A3F"/>
    <w:rsid w:val="00241353"/>
    <w:rsid w:val="00244D6A"/>
    <w:rsid w:val="00246930"/>
    <w:rsid w:val="00246E9C"/>
    <w:rsid w:val="00255891"/>
    <w:rsid w:val="00272EF2"/>
    <w:rsid w:val="0027306E"/>
    <w:rsid w:val="002741D5"/>
    <w:rsid w:val="00286D4B"/>
    <w:rsid w:val="00287349"/>
    <w:rsid w:val="00287BA0"/>
    <w:rsid w:val="0029658C"/>
    <w:rsid w:val="002C4E2C"/>
    <w:rsid w:val="002C7460"/>
    <w:rsid w:val="002D2093"/>
    <w:rsid w:val="002F023A"/>
    <w:rsid w:val="002F591D"/>
    <w:rsid w:val="0030706A"/>
    <w:rsid w:val="00310A72"/>
    <w:rsid w:val="00326116"/>
    <w:rsid w:val="0033026A"/>
    <w:rsid w:val="00330BC3"/>
    <w:rsid w:val="00346DDC"/>
    <w:rsid w:val="00360824"/>
    <w:rsid w:val="00366BAA"/>
    <w:rsid w:val="00367388"/>
    <w:rsid w:val="00381443"/>
    <w:rsid w:val="00381F5A"/>
    <w:rsid w:val="00386158"/>
    <w:rsid w:val="003912C0"/>
    <w:rsid w:val="00392AF0"/>
    <w:rsid w:val="003A111C"/>
    <w:rsid w:val="003A5284"/>
    <w:rsid w:val="003A742D"/>
    <w:rsid w:val="003B621C"/>
    <w:rsid w:val="003C37E2"/>
    <w:rsid w:val="003C7825"/>
    <w:rsid w:val="003D029C"/>
    <w:rsid w:val="003E0877"/>
    <w:rsid w:val="003E2864"/>
    <w:rsid w:val="003F0FA5"/>
    <w:rsid w:val="003F260C"/>
    <w:rsid w:val="003F26CA"/>
    <w:rsid w:val="003F6835"/>
    <w:rsid w:val="003F7400"/>
    <w:rsid w:val="004031F0"/>
    <w:rsid w:val="0040796E"/>
    <w:rsid w:val="00416F3C"/>
    <w:rsid w:val="00420B69"/>
    <w:rsid w:val="004230B0"/>
    <w:rsid w:val="00432932"/>
    <w:rsid w:val="0043392E"/>
    <w:rsid w:val="00441333"/>
    <w:rsid w:val="00451483"/>
    <w:rsid w:val="00452CB7"/>
    <w:rsid w:val="00457B26"/>
    <w:rsid w:val="0047232E"/>
    <w:rsid w:val="00485AA1"/>
    <w:rsid w:val="00492253"/>
    <w:rsid w:val="00497342"/>
    <w:rsid w:val="004A7A69"/>
    <w:rsid w:val="004B1725"/>
    <w:rsid w:val="004B17D5"/>
    <w:rsid w:val="004B717E"/>
    <w:rsid w:val="004B7677"/>
    <w:rsid w:val="004C1540"/>
    <w:rsid w:val="004C37E6"/>
    <w:rsid w:val="004D6C30"/>
    <w:rsid w:val="004E6EE3"/>
    <w:rsid w:val="004F651F"/>
    <w:rsid w:val="00527F38"/>
    <w:rsid w:val="00535072"/>
    <w:rsid w:val="00542B36"/>
    <w:rsid w:val="005447C6"/>
    <w:rsid w:val="00550077"/>
    <w:rsid w:val="005578C2"/>
    <w:rsid w:val="00567495"/>
    <w:rsid w:val="005700F9"/>
    <w:rsid w:val="00596D27"/>
    <w:rsid w:val="005A2F45"/>
    <w:rsid w:val="005A3503"/>
    <w:rsid w:val="005A4054"/>
    <w:rsid w:val="005C2FAD"/>
    <w:rsid w:val="005C7AB1"/>
    <w:rsid w:val="005D3FB0"/>
    <w:rsid w:val="005E49C8"/>
    <w:rsid w:val="00610F07"/>
    <w:rsid w:val="00620F8C"/>
    <w:rsid w:val="00624CB0"/>
    <w:rsid w:val="00625CC0"/>
    <w:rsid w:val="00645D98"/>
    <w:rsid w:val="00653C25"/>
    <w:rsid w:val="00656719"/>
    <w:rsid w:val="00663BFB"/>
    <w:rsid w:val="006660E1"/>
    <w:rsid w:val="00672222"/>
    <w:rsid w:val="00672B0D"/>
    <w:rsid w:val="00676931"/>
    <w:rsid w:val="00682AF8"/>
    <w:rsid w:val="00683F8B"/>
    <w:rsid w:val="00691BE5"/>
    <w:rsid w:val="006B1A09"/>
    <w:rsid w:val="006C55EF"/>
    <w:rsid w:val="006C6D49"/>
    <w:rsid w:val="006E0E4A"/>
    <w:rsid w:val="006E73DB"/>
    <w:rsid w:val="00704244"/>
    <w:rsid w:val="00713CF1"/>
    <w:rsid w:val="00727290"/>
    <w:rsid w:val="00735152"/>
    <w:rsid w:val="00740C7B"/>
    <w:rsid w:val="00756FC0"/>
    <w:rsid w:val="00771675"/>
    <w:rsid w:val="00782BFF"/>
    <w:rsid w:val="00792E46"/>
    <w:rsid w:val="00793D00"/>
    <w:rsid w:val="00794154"/>
    <w:rsid w:val="007A34D2"/>
    <w:rsid w:val="007B627D"/>
    <w:rsid w:val="007E38A2"/>
    <w:rsid w:val="007E6181"/>
    <w:rsid w:val="007F31BB"/>
    <w:rsid w:val="007F74B0"/>
    <w:rsid w:val="00801A71"/>
    <w:rsid w:val="0081397C"/>
    <w:rsid w:val="00831C44"/>
    <w:rsid w:val="0084293B"/>
    <w:rsid w:val="00843B3F"/>
    <w:rsid w:val="00850DD8"/>
    <w:rsid w:val="008575B2"/>
    <w:rsid w:val="0086402A"/>
    <w:rsid w:val="00873DE1"/>
    <w:rsid w:val="00876C95"/>
    <w:rsid w:val="008922EF"/>
    <w:rsid w:val="00892901"/>
    <w:rsid w:val="008B1A2F"/>
    <w:rsid w:val="008B3480"/>
    <w:rsid w:val="008C2D93"/>
    <w:rsid w:val="008D5B5F"/>
    <w:rsid w:val="008D7033"/>
    <w:rsid w:val="008E7A6E"/>
    <w:rsid w:val="008F341E"/>
    <w:rsid w:val="008F5D65"/>
    <w:rsid w:val="008F6A41"/>
    <w:rsid w:val="0090558D"/>
    <w:rsid w:val="00915487"/>
    <w:rsid w:val="009168A4"/>
    <w:rsid w:val="00921BD7"/>
    <w:rsid w:val="00924F08"/>
    <w:rsid w:val="00931FEC"/>
    <w:rsid w:val="00936BEF"/>
    <w:rsid w:val="009379B0"/>
    <w:rsid w:val="00946EED"/>
    <w:rsid w:val="009474FF"/>
    <w:rsid w:val="00955A76"/>
    <w:rsid w:val="0096043B"/>
    <w:rsid w:val="00961491"/>
    <w:rsid w:val="00963A39"/>
    <w:rsid w:val="0096441B"/>
    <w:rsid w:val="00967441"/>
    <w:rsid w:val="00971CB5"/>
    <w:rsid w:val="00980780"/>
    <w:rsid w:val="00996643"/>
    <w:rsid w:val="009A29C0"/>
    <w:rsid w:val="009A6ABF"/>
    <w:rsid w:val="009B6027"/>
    <w:rsid w:val="009B6C41"/>
    <w:rsid w:val="009E1DFF"/>
    <w:rsid w:val="009E7AC8"/>
    <w:rsid w:val="009E7F56"/>
    <w:rsid w:val="009F6B7B"/>
    <w:rsid w:val="00A0247C"/>
    <w:rsid w:val="00A06FC9"/>
    <w:rsid w:val="00A13432"/>
    <w:rsid w:val="00A2434D"/>
    <w:rsid w:val="00A246C3"/>
    <w:rsid w:val="00A254D7"/>
    <w:rsid w:val="00A26A68"/>
    <w:rsid w:val="00A27B1C"/>
    <w:rsid w:val="00A30516"/>
    <w:rsid w:val="00A368BA"/>
    <w:rsid w:val="00A43F0A"/>
    <w:rsid w:val="00A52371"/>
    <w:rsid w:val="00A633FA"/>
    <w:rsid w:val="00A63DE3"/>
    <w:rsid w:val="00A7190A"/>
    <w:rsid w:val="00A72AFA"/>
    <w:rsid w:val="00A75622"/>
    <w:rsid w:val="00A8162E"/>
    <w:rsid w:val="00A82672"/>
    <w:rsid w:val="00A86CD2"/>
    <w:rsid w:val="00A946CD"/>
    <w:rsid w:val="00A946DB"/>
    <w:rsid w:val="00A95DA5"/>
    <w:rsid w:val="00A966FC"/>
    <w:rsid w:val="00AA30E1"/>
    <w:rsid w:val="00AB19F5"/>
    <w:rsid w:val="00AC2B27"/>
    <w:rsid w:val="00AC2D36"/>
    <w:rsid w:val="00AC78FE"/>
    <w:rsid w:val="00AC7ABC"/>
    <w:rsid w:val="00AE77F3"/>
    <w:rsid w:val="00AF5E43"/>
    <w:rsid w:val="00B003D2"/>
    <w:rsid w:val="00B0548F"/>
    <w:rsid w:val="00B06E26"/>
    <w:rsid w:val="00B20B16"/>
    <w:rsid w:val="00B227FA"/>
    <w:rsid w:val="00B30BCE"/>
    <w:rsid w:val="00B357F9"/>
    <w:rsid w:val="00B41403"/>
    <w:rsid w:val="00B61DF7"/>
    <w:rsid w:val="00B667A0"/>
    <w:rsid w:val="00B67BEB"/>
    <w:rsid w:val="00B95476"/>
    <w:rsid w:val="00BA01ED"/>
    <w:rsid w:val="00BA3D91"/>
    <w:rsid w:val="00BB1592"/>
    <w:rsid w:val="00BB4830"/>
    <w:rsid w:val="00BD17BA"/>
    <w:rsid w:val="00BE0B1B"/>
    <w:rsid w:val="00BF3ADB"/>
    <w:rsid w:val="00C005D5"/>
    <w:rsid w:val="00C02F03"/>
    <w:rsid w:val="00C14AC8"/>
    <w:rsid w:val="00C30232"/>
    <w:rsid w:val="00C32E35"/>
    <w:rsid w:val="00C342DF"/>
    <w:rsid w:val="00C46ED8"/>
    <w:rsid w:val="00C50DE9"/>
    <w:rsid w:val="00C50DF9"/>
    <w:rsid w:val="00C66E49"/>
    <w:rsid w:val="00C679D8"/>
    <w:rsid w:val="00C86148"/>
    <w:rsid w:val="00CA639B"/>
    <w:rsid w:val="00CA6C6F"/>
    <w:rsid w:val="00CC6ACC"/>
    <w:rsid w:val="00CD6E97"/>
    <w:rsid w:val="00CF1032"/>
    <w:rsid w:val="00CF3FB3"/>
    <w:rsid w:val="00CF78F0"/>
    <w:rsid w:val="00D0403D"/>
    <w:rsid w:val="00D05F37"/>
    <w:rsid w:val="00D0698C"/>
    <w:rsid w:val="00D20904"/>
    <w:rsid w:val="00D22C3A"/>
    <w:rsid w:val="00D3048B"/>
    <w:rsid w:val="00D37E64"/>
    <w:rsid w:val="00D5179D"/>
    <w:rsid w:val="00D81688"/>
    <w:rsid w:val="00D84D9A"/>
    <w:rsid w:val="00D945B0"/>
    <w:rsid w:val="00D95FD8"/>
    <w:rsid w:val="00DA2652"/>
    <w:rsid w:val="00DA367C"/>
    <w:rsid w:val="00DA6490"/>
    <w:rsid w:val="00DB28CB"/>
    <w:rsid w:val="00DB5CDB"/>
    <w:rsid w:val="00DD01E7"/>
    <w:rsid w:val="00DE409C"/>
    <w:rsid w:val="00DF036F"/>
    <w:rsid w:val="00DF5958"/>
    <w:rsid w:val="00DF757D"/>
    <w:rsid w:val="00E01E4F"/>
    <w:rsid w:val="00E07D0A"/>
    <w:rsid w:val="00E11CD2"/>
    <w:rsid w:val="00E26F66"/>
    <w:rsid w:val="00E278F3"/>
    <w:rsid w:val="00E31728"/>
    <w:rsid w:val="00E32285"/>
    <w:rsid w:val="00E3506B"/>
    <w:rsid w:val="00E40998"/>
    <w:rsid w:val="00E42864"/>
    <w:rsid w:val="00E60B2E"/>
    <w:rsid w:val="00E83C05"/>
    <w:rsid w:val="00E90192"/>
    <w:rsid w:val="00E92806"/>
    <w:rsid w:val="00EA23DD"/>
    <w:rsid w:val="00EA2900"/>
    <w:rsid w:val="00EA349A"/>
    <w:rsid w:val="00EA40C5"/>
    <w:rsid w:val="00EB6B56"/>
    <w:rsid w:val="00EB6E63"/>
    <w:rsid w:val="00EC5F74"/>
    <w:rsid w:val="00ED15F1"/>
    <w:rsid w:val="00ED4DFB"/>
    <w:rsid w:val="00EE02A5"/>
    <w:rsid w:val="00EE1C45"/>
    <w:rsid w:val="00EF41B7"/>
    <w:rsid w:val="00EF7D9D"/>
    <w:rsid w:val="00F00945"/>
    <w:rsid w:val="00F215C9"/>
    <w:rsid w:val="00F21A58"/>
    <w:rsid w:val="00F31532"/>
    <w:rsid w:val="00F369EB"/>
    <w:rsid w:val="00F4444A"/>
    <w:rsid w:val="00F5129A"/>
    <w:rsid w:val="00F54524"/>
    <w:rsid w:val="00F56541"/>
    <w:rsid w:val="00F7738A"/>
    <w:rsid w:val="00F965AB"/>
    <w:rsid w:val="00FA4A09"/>
    <w:rsid w:val="00FB21B7"/>
    <w:rsid w:val="00FB43CA"/>
    <w:rsid w:val="00FC6581"/>
    <w:rsid w:val="00FD3BAD"/>
    <w:rsid w:val="00FD3EA4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32CBB9B1"/>
  <w15:chartTrackingRefBased/>
  <w15:docId w15:val="{A38EEDC4-8C06-4889-8D32-DF1B643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37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021F7C"/>
    <w:pPr>
      <w:widowControl w:val="0"/>
      <w:spacing w:after="0" w:line="240" w:lineRule="auto"/>
      <w:outlineLvl w:val="1"/>
    </w:pPr>
    <w:rPr>
      <w:rFonts w:ascii="Garamond" w:hAnsi="Garamond"/>
      <w:b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021F7C"/>
    <w:rPr>
      <w:rFonts w:ascii="Garamond" w:eastAsia="Times New Roman" w:hAnsi="Garamond" w:cs="Times New Roman"/>
      <w:b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A52371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0"/>
    <w:uiPriority w:val="99"/>
    <w:semiHidden/>
    <w:unhideWhenUsed/>
    <w:rsid w:val="001115B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115B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115BD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0B1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E0B1B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BE0B1B"/>
    <w:pPr>
      <w:ind w:left="720"/>
      <w:contextualSpacing/>
    </w:pPr>
  </w:style>
  <w:style w:type="paragraph" w:styleId="30">
    <w:name w:val="List Bullet 3"/>
    <w:basedOn w:val="a"/>
    <w:autoRedefine/>
    <w:rsid w:val="00075BF1"/>
    <w:pPr>
      <w:numPr>
        <w:numId w:val="22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paragraph" w:customStyle="1" w:styleId="21">
    <w:name w:val="Абзац списка2"/>
    <w:basedOn w:val="a"/>
    <w:rsid w:val="00B67BEB"/>
    <w:pPr>
      <w:spacing w:after="0" w:line="240" w:lineRule="auto"/>
      <w:ind w:left="708"/>
      <w:jc w:val="both"/>
    </w:pPr>
    <w:rPr>
      <w:rFonts w:ascii="Garamond" w:hAnsi="Garamond"/>
      <w:szCs w:val="24"/>
      <w:lang w:eastAsia="ru-RU"/>
    </w:rPr>
  </w:style>
  <w:style w:type="character" w:customStyle="1" w:styleId="a9">
    <w:name w:val="Абзац списка Знак"/>
    <w:link w:val="a8"/>
    <w:uiPriority w:val="34"/>
    <w:qFormat/>
    <w:rsid w:val="00D84D9A"/>
    <w:rPr>
      <w:rFonts w:ascii="Calibri" w:eastAsia="Times New Roman" w:hAnsi="Calibri" w:cs="Times New Roman"/>
    </w:rPr>
  </w:style>
  <w:style w:type="paragraph" w:customStyle="1" w:styleId="af4">
    <w:name w:val="мое"/>
    <w:basedOn w:val="a"/>
    <w:link w:val="af5"/>
    <w:qFormat/>
    <w:rsid w:val="00D84D9A"/>
    <w:pPr>
      <w:autoSpaceDE w:val="0"/>
      <w:autoSpaceDN w:val="0"/>
      <w:adjustRightInd w:val="0"/>
      <w:spacing w:before="120" w:after="120" w:line="240" w:lineRule="auto"/>
      <w:ind w:firstLine="600"/>
      <w:jc w:val="both"/>
    </w:pPr>
    <w:rPr>
      <w:rFonts w:ascii="Garamond" w:hAnsi="Garamond"/>
      <w:lang w:eastAsia="ru-RU"/>
    </w:rPr>
  </w:style>
  <w:style w:type="character" w:customStyle="1" w:styleId="af5">
    <w:name w:val="мое Знак"/>
    <w:link w:val="af4"/>
    <w:rsid w:val="00D84D9A"/>
    <w:rPr>
      <w:rFonts w:ascii="Garamond" w:eastAsia="Times New Roman" w:hAnsi="Garamond" w:cs="Times New Roman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420B69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420B69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rsid w:val="00420B69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420B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7C2B0-38C5-4B7F-AC8C-C281899D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14</cp:revision>
  <dcterms:created xsi:type="dcterms:W3CDTF">2024-03-22T10:21:00Z</dcterms:created>
  <dcterms:modified xsi:type="dcterms:W3CDTF">2024-03-27T13:39:00Z</dcterms:modified>
</cp:coreProperties>
</file>