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D740D" w14:textId="385FBA59" w:rsidR="006D7E57" w:rsidRPr="00027A6A" w:rsidRDefault="006D7E57" w:rsidP="00A32936">
      <w:pPr>
        <w:tabs>
          <w:tab w:val="left" w:pos="709"/>
        </w:tabs>
        <w:spacing w:before="0" w:after="0"/>
        <w:rPr>
          <w:b/>
          <w:sz w:val="28"/>
          <w:szCs w:val="28"/>
          <w:lang w:val="ru-RU"/>
        </w:rPr>
      </w:pPr>
      <w:r w:rsidRPr="00381FC0">
        <w:rPr>
          <w:b/>
          <w:sz w:val="28"/>
          <w:szCs w:val="28"/>
          <w:lang w:val="ru-RU"/>
        </w:rPr>
        <w:t>VI.</w:t>
      </w:r>
      <w:r w:rsidR="00D310BF">
        <w:rPr>
          <w:b/>
          <w:sz w:val="28"/>
          <w:szCs w:val="28"/>
          <w:lang w:val="ru-RU"/>
        </w:rPr>
        <w:t>6</w:t>
      </w:r>
      <w:r w:rsidRPr="00381FC0">
        <w:rPr>
          <w:b/>
          <w:sz w:val="28"/>
          <w:szCs w:val="28"/>
          <w:lang w:val="ru-RU"/>
        </w:rPr>
        <w:t xml:space="preserve">. </w:t>
      </w:r>
      <w:r w:rsidR="00027A6A" w:rsidRPr="00027A6A">
        <w:rPr>
          <w:b/>
          <w:sz w:val="28"/>
          <w:szCs w:val="28"/>
          <w:lang w:val="ru-RU"/>
        </w:rPr>
        <w:t>Изменения, связанные с предоставлением аналитической информации по надбавкам на оптовом рынке</w:t>
      </w:r>
    </w:p>
    <w:p w14:paraId="08D89679" w14:textId="77777777" w:rsidR="00D310BF" w:rsidRDefault="00D310BF" w:rsidP="00A32936">
      <w:pPr>
        <w:tabs>
          <w:tab w:val="left" w:pos="709"/>
        </w:tabs>
        <w:spacing w:before="0" w:after="0"/>
        <w:jc w:val="right"/>
        <w:rPr>
          <w:b/>
          <w:sz w:val="28"/>
          <w:szCs w:val="28"/>
          <w:lang w:val="ru-RU"/>
        </w:rPr>
      </w:pPr>
    </w:p>
    <w:p w14:paraId="4CC5EEF8" w14:textId="27A92C0D" w:rsidR="00D310BF" w:rsidRDefault="006D7E57" w:rsidP="00A32936">
      <w:pPr>
        <w:tabs>
          <w:tab w:val="left" w:pos="709"/>
        </w:tabs>
        <w:spacing w:before="0" w:after="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Приложение № </w:t>
      </w:r>
      <w:r w:rsidR="00D310BF">
        <w:rPr>
          <w:b/>
          <w:sz w:val="28"/>
          <w:szCs w:val="28"/>
          <w:lang w:val="ru-RU"/>
        </w:rPr>
        <w:t>6</w:t>
      </w:r>
      <w:r w:rsidRPr="006D7E57">
        <w:rPr>
          <w:b/>
          <w:sz w:val="28"/>
          <w:szCs w:val="28"/>
          <w:lang w:val="ru-RU"/>
        </w:rPr>
        <w:t>.</w:t>
      </w:r>
      <w:r w:rsidR="00D310BF">
        <w:rPr>
          <w:b/>
          <w:sz w:val="28"/>
          <w:szCs w:val="28"/>
          <w:lang w:val="ru-RU"/>
        </w:rPr>
        <w:t>6</w:t>
      </w:r>
    </w:p>
    <w:p w14:paraId="200BB755" w14:textId="77777777" w:rsidR="00A32936" w:rsidRPr="00A32936" w:rsidRDefault="00A32936" w:rsidP="00A32936">
      <w:pPr>
        <w:tabs>
          <w:tab w:val="left" w:pos="709"/>
        </w:tabs>
        <w:spacing w:before="0" w:after="0"/>
        <w:jc w:val="right"/>
        <w:rPr>
          <w:b/>
          <w:sz w:val="24"/>
          <w:szCs w:val="24"/>
          <w:lang w:val="ru-RU"/>
        </w:rPr>
      </w:pPr>
    </w:p>
    <w:p w14:paraId="5654B182" w14:textId="412646D2" w:rsidR="00670878" w:rsidRDefault="00670878" w:rsidP="00670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before="0" w:after="0"/>
        <w:jc w:val="both"/>
        <w:rPr>
          <w:rFonts w:cs="Garamond"/>
          <w:bCs/>
          <w:sz w:val="24"/>
          <w:szCs w:val="24"/>
          <w:lang w:val="ru-RU" w:eastAsia="ru-RU"/>
        </w:rPr>
      </w:pPr>
      <w:r>
        <w:rPr>
          <w:rFonts w:cs="Garamond"/>
          <w:b/>
          <w:bCs/>
          <w:sz w:val="24"/>
          <w:szCs w:val="24"/>
          <w:lang w:val="ru-RU" w:eastAsia="ru-RU"/>
        </w:rPr>
        <w:t xml:space="preserve">Инициатор: </w:t>
      </w:r>
      <w:r w:rsidRPr="00670878">
        <w:rPr>
          <w:rFonts w:cs="Garamond"/>
          <w:bCs/>
          <w:sz w:val="24"/>
          <w:szCs w:val="24"/>
          <w:lang w:val="ru-RU" w:eastAsia="ru-RU"/>
        </w:rPr>
        <w:t>Ас</w:t>
      </w:r>
      <w:r>
        <w:rPr>
          <w:rFonts w:cs="Garamond"/>
          <w:bCs/>
          <w:sz w:val="24"/>
          <w:szCs w:val="24"/>
          <w:lang w:val="ru-RU" w:eastAsia="ru-RU"/>
        </w:rPr>
        <w:t xml:space="preserve">социация </w:t>
      </w:r>
      <w:r w:rsidR="00027A6A">
        <w:rPr>
          <w:rFonts w:cs="Garamond"/>
          <w:bCs/>
          <w:sz w:val="24"/>
          <w:szCs w:val="24"/>
          <w:lang w:val="ru-RU" w:eastAsia="ru-RU"/>
        </w:rPr>
        <w:t xml:space="preserve">«НП </w:t>
      </w:r>
      <w:r>
        <w:rPr>
          <w:rFonts w:cs="Garamond"/>
          <w:bCs/>
          <w:sz w:val="24"/>
          <w:szCs w:val="24"/>
          <w:lang w:val="ru-RU" w:eastAsia="ru-RU"/>
        </w:rPr>
        <w:t>Совет рынка»</w:t>
      </w:r>
      <w:r w:rsidR="00D310BF">
        <w:rPr>
          <w:rFonts w:cs="Garamond"/>
          <w:bCs/>
          <w:sz w:val="24"/>
          <w:szCs w:val="24"/>
          <w:lang w:val="ru-RU" w:eastAsia="ru-RU"/>
        </w:rPr>
        <w:t>.</w:t>
      </w:r>
    </w:p>
    <w:p w14:paraId="467C78C1" w14:textId="6482D929" w:rsidR="0048537E" w:rsidRPr="00027A6A" w:rsidRDefault="00670878" w:rsidP="00027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before="0" w:after="0"/>
        <w:jc w:val="both"/>
        <w:rPr>
          <w:rFonts w:cs="Garamond"/>
          <w:bCs/>
          <w:sz w:val="24"/>
          <w:szCs w:val="24"/>
          <w:lang w:val="ru-RU" w:eastAsia="ru-RU"/>
        </w:rPr>
      </w:pPr>
      <w:r w:rsidRPr="00670878">
        <w:rPr>
          <w:rFonts w:cs="Garamond"/>
          <w:b/>
          <w:bCs/>
          <w:sz w:val="24"/>
          <w:szCs w:val="24"/>
          <w:lang w:val="ru-RU" w:eastAsia="ru-RU"/>
        </w:rPr>
        <w:t xml:space="preserve">Обоснование: </w:t>
      </w:r>
      <w:r w:rsidR="0048537E" w:rsidRPr="0048537E">
        <w:rPr>
          <w:rFonts w:cs="Garamond"/>
          <w:bCs/>
          <w:sz w:val="24"/>
          <w:szCs w:val="24"/>
          <w:lang w:val="ru-RU" w:eastAsia="ru-RU"/>
        </w:rPr>
        <w:t>Правилами оптового рынка электрической энергии и мощности, утвержденными постановлением Правительства Российской Федерации от 29.12.2010 № 1172, предусматривается применение надбавки к цене на мощность, поставляемой в ценовых зонах оптового рынка субъектом оптового рынка – производителем электрической энергии (мощности), устанавливаемой в целях достижения на территориях Дальневосточного федерального округа базовых уровней цен (тарифов) на электрическую энергию (мощность) для субъектов Российской Федерации, входящих в состав Дальневосточного федерального округа (далее – Н</w:t>
      </w:r>
      <w:bookmarkStart w:id="0" w:name="_GoBack"/>
      <w:bookmarkEnd w:id="0"/>
      <w:r w:rsidR="0048537E" w:rsidRPr="0048537E">
        <w:rPr>
          <w:rFonts w:cs="Garamond"/>
          <w:bCs/>
          <w:sz w:val="24"/>
          <w:szCs w:val="24"/>
          <w:lang w:val="ru-RU" w:eastAsia="ru-RU"/>
        </w:rPr>
        <w:t>адбавка ДФО), и надбавки, устанавливаемой в целях частичной компенсации стоимости мощности, поставленной с использованием генерирующих объектов тепловых электростанций, модернизированных, реконструированных и построенных на территориях неценовых зон оптового рынка (далее – Надбавка на модернизацию в НЦЗ). При этом один субъект оптового рынка в ценовых зонах может быть определен получателем и Надбавки ДФО, и Надбавки на модернизацию в НЦЗ.</w:t>
      </w:r>
    </w:p>
    <w:p w14:paraId="0A4C022E" w14:textId="77777777" w:rsidR="0048537E" w:rsidRDefault="0048537E" w:rsidP="00027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before="0" w:after="0"/>
        <w:jc w:val="both"/>
        <w:rPr>
          <w:rFonts w:cs="Garamond"/>
          <w:bCs/>
          <w:sz w:val="24"/>
          <w:szCs w:val="24"/>
          <w:lang w:val="ru-RU" w:eastAsia="ru-RU"/>
        </w:rPr>
      </w:pPr>
      <w:r w:rsidRPr="0048537E">
        <w:rPr>
          <w:rFonts w:cs="Garamond"/>
          <w:bCs/>
          <w:sz w:val="24"/>
          <w:szCs w:val="24"/>
          <w:lang w:val="ru-RU" w:eastAsia="ru-RU"/>
        </w:rPr>
        <w:t>В Ассоциацию «НП Совет рынка» поступило обращение участника оптового рынка –</w:t>
      </w:r>
      <w:r>
        <w:rPr>
          <w:rFonts w:cs="Garamond"/>
          <w:bCs/>
          <w:sz w:val="24"/>
          <w:szCs w:val="24"/>
          <w:lang w:val="ru-RU" w:eastAsia="ru-RU"/>
        </w:rPr>
        <w:t xml:space="preserve"> </w:t>
      </w:r>
      <w:r w:rsidRPr="0048537E">
        <w:rPr>
          <w:rFonts w:cs="Garamond"/>
          <w:bCs/>
          <w:sz w:val="24"/>
          <w:szCs w:val="24"/>
          <w:lang w:val="ru-RU" w:eastAsia="ru-RU"/>
        </w:rPr>
        <w:t>получателя вышеуказанных надбавок с предложением о дополнении отчетной информации, предоставляемой АО «АТС» в соответствии с Договором о присоединении к торговой системе оптового рынка (далее – ДОП), новыми аналитическими отчетами для участников – получателей надбавок в целях раздельного предоставления информации в отношении Надбавки ДФО и Надбавки на модернизацию в НЦЗ.</w:t>
      </w:r>
    </w:p>
    <w:p w14:paraId="156C12A6" w14:textId="20FC4BAC" w:rsidR="00027A6A" w:rsidRPr="00027A6A" w:rsidRDefault="00027A6A" w:rsidP="00027A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before="0" w:after="0"/>
        <w:jc w:val="both"/>
        <w:rPr>
          <w:rFonts w:cs="Garamond"/>
          <w:bCs/>
          <w:sz w:val="24"/>
          <w:szCs w:val="24"/>
          <w:lang w:val="ru-RU" w:eastAsia="ru-RU"/>
        </w:rPr>
      </w:pPr>
      <w:r>
        <w:rPr>
          <w:rFonts w:cs="Garamond"/>
          <w:bCs/>
          <w:sz w:val="24"/>
          <w:szCs w:val="24"/>
          <w:lang w:val="ru-RU" w:eastAsia="ru-RU"/>
        </w:rPr>
        <w:t>Предлагается в</w:t>
      </w:r>
      <w:r w:rsidRPr="00027A6A">
        <w:rPr>
          <w:rFonts w:cs="Garamond"/>
          <w:bCs/>
          <w:sz w:val="24"/>
          <w:szCs w:val="24"/>
          <w:lang w:val="ru-RU" w:eastAsia="ru-RU"/>
        </w:rPr>
        <w:t>нести в</w:t>
      </w:r>
      <w:r>
        <w:rPr>
          <w:rFonts w:cs="Garamond"/>
          <w:bCs/>
          <w:sz w:val="24"/>
          <w:szCs w:val="24"/>
          <w:lang w:val="ru-RU" w:eastAsia="ru-RU"/>
        </w:rPr>
        <w:t xml:space="preserve"> регламенты оптового рынка</w:t>
      </w:r>
      <w:r w:rsidRPr="00027A6A">
        <w:rPr>
          <w:rFonts w:cs="Garamond"/>
          <w:bCs/>
          <w:sz w:val="24"/>
          <w:szCs w:val="24"/>
          <w:lang w:val="ru-RU" w:eastAsia="ru-RU"/>
        </w:rPr>
        <w:t xml:space="preserve"> изменения, предусматривающие предоставление раздельной информации о размере Надбавки ДФО и Надбавки на модернизацию в НЦЗ, а также о составляющих размера средств, учитываемых в Надбавке на модернизацию в НЦЗ, в составе аналитических отчетов, предоставляемых в соответствии с регламентами оптового рынка.</w:t>
      </w:r>
    </w:p>
    <w:p w14:paraId="03E2D3AC" w14:textId="031FBC88" w:rsidR="006D7E57" w:rsidRPr="006D7E57" w:rsidRDefault="006D7E57" w:rsidP="00670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before="0" w:after="0"/>
        <w:jc w:val="both"/>
        <w:rPr>
          <w:rFonts w:cs="Garamond"/>
          <w:b/>
          <w:bCs/>
          <w:sz w:val="24"/>
          <w:szCs w:val="24"/>
          <w:lang w:val="ru-RU"/>
        </w:rPr>
      </w:pPr>
      <w:r w:rsidRPr="006D7E57">
        <w:rPr>
          <w:rFonts w:cs="Garamond"/>
          <w:b/>
          <w:bCs/>
          <w:sz w:val="24"/>
          <w:szCs w:val="24"/>
          <w:lang w:val="ru-RU" w:eastAsia="ru-RU"/>
        </w:rPr>
        <w:t>Дата вступления в силу:</w:t>
      </w:r>
      <w:r w:rsidRPr="006D7E57">
        <w:rPr>
          <w:bCs/>
          <w:sz w:val="24"/>
          <w:szCs w:val="24"/>
          <w:lang w:val="ru-RU"/>
        </w:rPr>
        <w:t xml:space="preserve"> </w:t>
      </w:r>
      <w:r>
        <w:rPr>
          <w:rFonts w:cs="Garamond"/>
          <w:bCs/>
          <w:sz w:val="24"/>
          <w:szCs w:val="24"/>
          <w:lang w:val="ru-RU" w:eastAsia="ru-RU"/>
        </w:rPr>
        <w:t>1 апреля 2024 года</w:t>
      </w:r>
      <w:r w:rsidRPr="006D7E57">
        <w:rPr>
          <w:rFonts w:cs="Garamond"/>
          <w:bCs/>
          <w:sz w:val="24"/>
          <w:szCs w:val="24"/>
          <w:lang w:val="ru-RU" w:eastAsia="ru-RU"/>
        </w:rPr>
        <w:t>.</w:t>
      </w:r>
    </w:p>
    <w:p w14:paraId="6EFB8C4F" w14:textId="77777777" w:rsidR="00670878" w:rsidRDefault="00670878" w:rsidP="005A03F6">
      <w:pPr>
        <w:spacing w:before="0" w:after="0"/>
        <w:ind w:right="-314"/>
        <w:rPr>
          <w:b/>
          <w:sz w:val="26"/>
          <w:szCs w:val="26"/>
          <w:lang w:val="ru-RU"/>
        </w:rPr>
      </w:pPr>
    </w:p>
    <w:p w14:paraId="5CBBAEA8" w14:textId="1F8FBB72" w:rsidR="00BC26EB" w:rsidRPr="006D7E57" w:rsidRDefault="00BC26EB" w:rsidP="005A03F6">
      <w:pPr>
        <w:spacing w:before="0" w:after="0"/>
        <w:ind w:left="-142" w:right="-314"/>
        <w:rPr>
          <w:b/>
          <w:sz w:val="26"/>
          <w:szCs w:val="26"/>
          <w:lang w:val="ru-RU"/>
        </w:rPr>
      </w:pPr>
      <w:r w:rsidRPr="006D7E57">
        <w:rPr>
          <w:b/>
          <w:sz w:val="26"/>
          <w:szCs w:val="26"/>
          <w:lang w:val="ru-RU"/>
        </w:rPr>
        <w:t xml:space="preserve">Предложения по изменениям и дополнениям в </w:t>
      </w:r>
      <w:r w:rsidRPr="006D7E57">
        <w:rPr>
          <w:b/>
          <w:caps/>
          <w:sz w:val="26"/>
          <w:szCs w:val="26"/>
          <w:lang w:val="ru-RU"/>
        </w:rPr>
        <w:t xml:space="preserve">Регламент </w:t>
      </w:r>
      <w:r w:rsidR="006E777C" w:rsidRPr="006E777C">
        <w:rPr>
          <w:b/>
          <w:caps/>
          <w:sz w:val="26"/>
          <w:szCs w:val="26"/>
          <w:lang w:val="ru-RU"/>
        </w:rPr>
        <w:t xml:space="preserve">ФУНКЦИОНИРОВАНИЯ УЧАСТНИКОВ ОПТОВОГО РЫНКА НА ТЕРРИТОРИИ НЕЦЕНОВЫХ ЗОН </w:t>
      </w:r>
      <w:r w:rsidRPr="006D7E57">
        <w:rPr>
          <w:b/>
          <w:caps/>
          <w:sz w:val="26"/>
          <w:szCs w:val="26"/>
          <w:lang w:val="ru-RU"/>
        </w:rPr>
        <w:t>(</w:t>
      </w:r>
      <w:r w:rsidRPr="006D7E57">
        <w:rPr>
          <w:b/>
          <w:sz w:val="26"/>
          <w:szCs w:val="26"/>
          <w:lang w:val="ru-RU"/>
        </w:rPr>
        <w:t>Приложение № 1</w:t>
      </w:r>
      <w:r w:rsidR="006E777C" w:rsidRPr="006E777C">
        <w:rPr>
          <w:b/>
          <w:sz w:val="26"/>
          <w:szCs w:val="26"/>
          <w:lang w:val="ru-RU"/>
        </w:rPr>
        <w:t>4</w:t>
      </w:r>
      <w:r w:rsidRPr="006D7E57">
        <w:rPr>
          <w:b/>
          <w:sz w:val="26"/>
          <w:szCs w:val="26"/>
          <w:lang w:val="ru-RU"/>
        </w:rPr>
        <w:t xml:space="preserve"> к Договору о присоединении к торговой системе оптового рынка)</w:t>
      </w:r>
    </w:p>
    <w:p w14:paraId="272843C4" w14:textId="77777777" w:rsidR="00BC26EB" w:rsidRPr="006D7E57" w:rsidRDefault="00BC26EB" w:rsidP="005A03F6">
      <w:pPr>
        <w:spacing w:before="0" w:after="0"/>
        <w:rPr>
          <w:rFonts w:cs="Garamond"/>
          <w:b/>
          <w:bCs/>
          <w:sz w:val="26"/>
          <w:szCs w:val="26"/>
          <w:lang w:val="ru-RU"/>
        </w:rPr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46"/>
        <w:gridCol w:w="6804"/>
      </w:tblGrid>
      <w:tr w:rsidR="00BC26EB" w:rsidRPr="003B29FF" w14:paraId="1B2821A0" w14:textId="77777777" w:rsidTr="005A03F6">
        <w:trPr>
          <w:trHeight w:val="435"/>
        </w:trPr>
        <w:tc>
          <w:tcPr>
            <w:tcW w:w="993" w:type="dxa"/>
            <w:vAlign w:val="center"/>
          </w:tcPr>
          <w:p w14:paraId="4EBC7CC9" w14:textId="77777777" w:rsidR="00BC26EB" w:rsidRPr="00440A03" w:rsidRDefault="00BC26EB" w:rsidP="000C29CE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 xml:space="preserve">№ </w:t>
            </w:r>
          </w:p>
          <w:p w14:paraId="300C08E8" w14:textId="77777777" w:rsidR="00BC26EB" w:rsidRPr="00FF0A27" w:rsidRDefault="00BC26EB" w:rsidP="000C29CE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пункта</w:t>
            </w:r>
          </w:p>
        </w:tc>
        <w:tc>
          <w:tcPr>
            <w:tcW w:w="6946" w:type="dxa"/>
            <w:vAlign w:val="center"/>
          </w:tcPr>
          <w:p w14:paraId="58BE769C" w14:textId="77777777" w:rsidR="00BC26EB" w:rsidRPr="00440A03" w:rsidRDefault="00BC26EB" w:rsidP="000C29CE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 xml:space="preserve">Редакция, действующая на момент </w:t>
            </w:r>
          </w:p>
          <w:p w14:paraId="1DD91FB5" w14:textId="77777777" w:rsidR="00BC26EB" w:rsidRPr="006D7E57" w:rsidRDefault="00BC26EB" w:rsidP="000C29CE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6804" w:type="dxa"/>
            <w:vAlign w:val="center"/>
          </w:tcPr>
          <w:p w14:paraId="2DA21ED9" w14:textId="77777777" w:rsidR="00BC26EB" w:rsidRPr="00440A03" w:rsidRDefault="00BC26EB" w:rsidP="000C29CE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Предлагаемые изменения</w:t>
            </w:r>
          </w:p>
          <w:p w14:paraId="3F86383C" w14:textId="77777777" w:rsidR="00BC26EB" w:rsidRPr="00440A03" w:rsidRDefault="00BC26EB" w:rsidP="000C29CE">
            <w:pPr>
              <w:widowControl w:val="0"/>
              <w:spacing w:before="0" w:after="0"/>
              <w:jc w:val="center"/>
              <w:rPr>
                <w:rFonts w:eastAsiaTheme="minorHAnsi" w:cs="Calibri"/>
                <w:lang w:val="ru-RU"/>
              </w:rPr>
            </w:pPr>
            <w:r w:rsidRPr="00440A03">
              <w:rPr>
                <w:rFonts w:eastAsiaTheme="minorHAnsi" w:cs="Calibri"/>
                <w:szCs w:val="22"/>
                <w:lang w:val="ru-RU"/>
              </w:rPr>
              <w:t>(изменения выделены цветом)</w:t>
            </w:r>
          </w:p>
        </w:tc>
      </w:tr>
      <w:tr w:rsidR="00BC26EB" w:rsidRPr="003B29FF" w14:paraId="59FC2352" w14:textId="77777777" w:rsidTr="005A03F6">
        <w:trPr>
          <w:trHeight w:val="435"/>
        </w:trPr>
        <w:tc>
          <w:tcPr>
            <w:tcW w:w="993" w:type="dxa"/>
            <w:vAlign w:val="center"/>
          </w:tcPr>
          <w:p w14:paraId="6D9ECA11" w14:textId="382E7C43" w:rsidR="00BC26EB" w:rsidRPr="006E777C" w:rsidRDefault="006E777C" w:rsidP="000C29CE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en-US"/>
              </w:rPr>
            </w:pPr>
            <w:r>
              <w:rPr>
                <w:rFonts w:eastAsiaTheme="minorHAnsi" w:cs="Calibri"/>
                <w:b/>
                <w:lang w:val="en-US"/>
              </w:rPr>
              <w:t>15.6.10</w:t>
            </w:r>
          </w:p>
        </w:tc>
        <w:tc>
          <w:tcPr>
            <w:tcW w:w="6946" w:type="dxa"/>
          </w:tcPr>
          <w:p w14:paraId="0514F828" w14:textId="77777777" w:rsidR="006E777C" w:rsidRPr="006E777C" w:rsidRDefault="006E777C" w:rsidP="006E777C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cs="Garamond"/>
                <w:b/>
                <w:bCs/>
                <w:szCs w:val="22"/>
                <w:lang w:val="ru-RU"/>
              </w:rPr>
            </w:pPr>
            <w:r w:rsidRPr="006E777C">
              <w:rPr>
                <w:rFonts w:cs="Garamond"/>
                <w:b/>
                <w:bCs/>
                <w:szCs w:val="22"/>
                <w:lang w:val="ru-RU"/>
              </w:rPr>
              <w:t xml:space="preserve">15.6.10. Расчет размера средств, учитываемых в отношении участника оптового рынка – производителя электрической энергии (мощности), в отношении которого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помощью генерирующих объектов, включенных в перечень </w:t>
            </w:r>
            <w:r w:rsidRPr="006E777C">
              <w:rPr>
                <w:b/>
                <w:szCs w:val="22"/>
                <w:lang w:val="ru-RU"/>
              </w:rPr>
              <w:t>генерирующих объектов</w:t>
            </w:r>
            <w:r w:rsidRPr="006E777C">
              <w:rPr>
                <w:rFonts w:cs="Garamond"/>
                <w:b/>
                <w:bCs/>
                <w:szCs w:val="22"/>
                <w:lang w:val="ru-RU"/>
              </w:rPr>
              <w:t xml:space="preserve"> в неценовых зонах</w:t>
            </w:r>
          </w:p>
          <w:p w14:paraId="3866D774" w14:textId="77777777" w:rsidR="006E777C" w:rsidRPr="006E777C" w:rsidRDefault="006E777C" w:rsidP="006E777C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67"/>
              <w:jc w:val="both"/>
              <w:rPr>
                <w:szCs w:val="22"/>
                <w:lang w:val="ru-RU" w:eastAsia="ru-RU"/>
              </w:rPr>
            </w:pPr>
            <w:r w:rsidRPr="006E777C">
              <w:rPr>
                <w:szCs w:val="22"/>
                <w:lang w:val="ru-RU" w:eastAsia="ru-RU"/>
              </w:rPr>
              <w:lastRenderedPageBreak/>
              <w:t xml:space="preserve">Для целей определения надбавки, применяемой в соответствии с п. 13.1.4 </w:t>
            </w:r>
            <w:r w:rsidRPr="006E777C">
              <w:rPr>
                <w:i/>
                <w:iCs/>
                <w:szCs w:val="22"/>
                <w:lang w:val="ru-RU" w:eastAsia="ru-RU"/>
              </w:rPr>
              <w:t>Регламента финансовых расчетов на оптовом рынке электроэнергии</w:t>
            </w:r>
            <w:r w:rsidRPr="006E777C">
              <w:rPr>
                <w:iCs/>
                <w:szCs w:val="22"/>
                <w:lang w:val="ru-RU" w:eastAsia="ru-RU"/>
              </w:rPr>
              <w:t xml:space="preserve"> </w:t>
            </w:r>
            <w:r w:rsidRPr="006E777C">
              <w:rPr>
                <w:szCs w:val="22"/>
                <w:lang w:val="ru-RU" w:eastAsia="ru-RU"/>
              </w:rPr>
              <w:t xml:space="preserve">(Приложение № 16 к </w:t>
            </w:r>
            <w:r w:rsidRPr="006E777C">
              <w:rPr>
                <w:i/>
                <w:szCs w:val="22"/>
                <w:lang w:val="ru-RU" w:eastAsia="ru-RU"/>
              </w:rPr>
              <w:t>Договору о присоединении к торговой системе оптового рынка</w:t>
            </w:r>
            <w:r w:rsidRPr="006E777C">
              <w:rPr>
                <w:szCs w:val="22"/>
                <w:lang w:val="ru-RU" w:eastAsia="ru-RU"/>
              </w:rPr>
              <w:t xml:space="preserve">), при определении стоимости мощности КО рассчитывает размер средств, учитываемых в отношении участника оптового рынка </w:t>
            </w:r>
            <w:r w:rsidRPr="006E777C">
              <w:rPr>
                <w:i/>
                <w:szCs w:val="22"/>
                <w:lang w:val="ru-RU" w:eastAsia="ru-RU"/>
              </w:rPr>
              <w:t>i</w:t>
            </w:r>
            <w:r w:rsidRPr="006E777C">
              <w:rPr>
                <w:szCs w:val="22"/>
                <w:lang w:val="ru-RU" w:eastAsia="ru-RU"/>
              </w:rPr>
              <w:t xml:space="preserve"> – производителя электрической энергии (мощности), в отношении которого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помощью генерирующих объектов, включенных в перечень генерирующих объектов в неценовых зонах, для ценовых зон и месяца </w:t>
            </w:r>
            <w:r w:rsidRPr="006E777C">
              <w:rPr>
                <w:i/>
                <w:szCs w:val="22"/>
                <w:lang w:val="ru-RU" w:eastAsia="ru-RU"/>
              </w:rPr>
              <w:t>m</w:t>
            </w:r>
            <w:r w:rsidRPr="006E777C">
              <w:rPr>
                <w:szCs w:val="22"/>
                <w:lang w:val="ru-RU" w:eastAsia="ru-RU"/>
              </w:rPr>
              <w:t xml:space="preserve">, 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szCs w:val="22"/>
                      <w:lang w:val="ru-RU" w:eastAsia="ru-RU"/>
                    </w:rPr>
                    <m:t>i,m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надб МодНЦЗ</m:t>
                  </m: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up>
              </m:sSubSup>
            </m:oMath>
            <w:r w:rsidRPr="006E777C">
              <w:rPr>
                <w:szCs w:val="22"/>
                <w:lang w:val="ru-RU" w:eastAsia="ru-RU"/>
              </w:rPr>
              <w:t xml:space="preserve"> по формуле (с точностью до двух знаков после запятой):</w:t>
            </w:r>
          </w:p>
          <w:p w14:paraId="5C64569B" w14:textId="77777777" w:rsidR="006E777C" w:rsidRPr="006E777C" w:rsidRDefault="003B29FF" w:rsidP="006E777C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178"/>
              <w:jc w:val="both"/>
              <w:rPr>
                <w:szCs w:val="22"/>
                <w:lang w:val="ru-RU"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mbria Math" w:hAnsi="Cambria Math" w:cs="Cambria Math"/>
                        <w:i/>
                        <w:szCs w:val="22"/>
                        <w:lang w:val="ru-RU" w:eastAsia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lang w:val="ru-RU" w:eastAsia="ru-RU"/>
                      </w:rPr>
                      <m:t>S</m:t>
                    </m:r>
                    <m:ctrlPr>
                      <w:rPr>
                        <w:rFonts w:ascii="Cambria Math" w:hAnsi="Cambria Math"/>
                        <w:i/>
                        <w:szCs w:val="22"/>
                        <w:lang w:val="ru-RU" w:eastAsia="ru-RU"/>
                      </w:rPr>
                    </m:ctrlPr>
                  </m:e>
                  <m:sub>
                    <m:r>
                      <w:rPr>
                        <w:rFonts w:ascii="Cambria Math" w:eastAsia="Cambria Math" w:hAnsi="Cambria Math" w:cs="Cambria Math"/>
                        <w:szCs w:val="22"/>
                        <w:lang w:val="ru-RU" w:eastAsia="ru-RU"/>
                      </w:rPr>
                      <m:t>i,m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lang w:val="ru-RU" w:eastAsia="ru-RU"/>
                      </w:rPr>
                      <m:t>надб МодНЦЗ</m:t>
                    </m:r>
                  </m:sup>
                </m:sSubSup>
                <m:r>
                  <w:rPr>
                    <w:rFonts w:ascii="Cambria Math" w:eastAsia="Cambria Math" w:hAnsi="Cambria Math" w:cs="Cambria Math"/>
                    <w:szCs w:val="22"/>
                    <w:lang w:val="ru-RU" w:eastAsia="ru-RU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/>
                        <w:szCs w:val="22"/>
                        <w:lang w:val="ru-RU" w:eastAsia="ru-RU"/>
                      </w:rPr>
                    </m:ctrlPr>
                  </m:naryPr>
                  <m:sub>
                    <m:r>
                      <w:rPr>
                        <w:rFonts w:ascii="Cambria Math" w:eastAsia="Cambria Math" w:hAnsi="Cambria Math" w:cs="Cambria Math"/>
                        <w:szCs w:val="22"/>
                        <w:lang w:val="en-US" w:eastAsia="ru-RU"/>
                      </w:rPr>
                      <m:t>z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  <w:lang w:val="ru-RU" w:eastAsia="ru-RU"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grow m:val="1"/>
                            <m:ctrlPr>
                              <w:rPr>
                                <w:rFonts w:ascii="Cambria Math" w:hAnsi="Cambria Math"/>
                                <w:szCs w:val="22"/>
                                <w:lang w:val="ru-RU" w:eastAsia="ru-RU"/>
                              </w:rPr>
                            </m:ctrlPr>
                          </m:naryPr>
                          <m:sub>
                            <m:eqArr>
                              <m:eqArrPr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  <w:szCs w:val="22"/>
                                    <w:lang w:val="ru-RU" w:eastAsia="ru-RU"/>
                                  </w:rPr>
                                </m:ctrlPr>
                              </m:eqArrPr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  <w:szCs w:val="22"/>
                                    <w:lang w:val="ru-RU" w:eastAsia="ru-RU"/>
                                  </w:rPr>
                                  <m:t>q∈i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  <w:szCs w:val="22"/>
                                    <w:lang w:val="ru-RU" w:eastAsia="ru-RU"/>
                                  </w:rPr>
                                  <m:t>q∈q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Cs w:val="22"/>
                                        <w:lang w:val="ru-RU" w:eastAsia="ru-RU"/>
                                      </w:rPr>
                                      <m:t>мод</m:t>
                                    </m:r>
                                  </m:e>
                                </m:d>
                              </m:e>
                            </m:eqArr>
                          </m:sub>
                          <m:sup/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  <w:lang w:val="ru-RU" w:eastAsia="ru-RU"/>
                                  </w:rPr>
                                </m:ctrlPr>
                              </m:d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d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2"/>
                                            <w:lang w:val="ru-RU" w:eastAsia="ru-RU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ru-RU" w:eastAsia="ru-RU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ru-RU" w:eastAsia="ru-RU"/>
                                          </w:rPr>
                                          <m:t>q,m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ru-RU" w:eastAsia="ru-RU"/>
                                          </w:rPr>
                                          <m:t>мощн МодНЦЗ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-OpE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2"/>
                                            <w:lang w:val="ru-RU" w:eastAsia="ru-RU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ru-RU" w:eastAsia="ru-RU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ru-RU" w:eastAsia="ru-RU"/>
                                          </w:rPr>
                                          <m:t>q,m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 xml:space="preserve"> 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 w:eastAsia="ru-RU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факт,m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 xml:space="preserve">пост, 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 w:eastAsia="ru-RU"/>
                                      </w:rPr>
                                      <m:t>q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 w:eastAsia="ru-RU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m,z</m:t>
                                    </m:r>
                                  </m:sub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szCs w:val="22"/>
                                        <w:lang w:val="ru-RU" w:eastAsia="ru-RU"/>
                                      </w:rPr>
                                      <m:t>мощ_сезон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 w:eastAsia="ru-RU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q,m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штр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 w:eastAsia="ru-RU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q,m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неполн</m:t>
                                    </m:r>
                                  </m:sup>
                                </m:sSubSup>
                              </m:e>
                            </m:d>
                            <m:r>
                              <w:rPr>
                                <w:rFonts w:ascii="Cambria Math" w:hAnsi="Cambria Math"/>
                                <w:szCs w:val="22"/>
                                <w:lang w:val="ru-RU" w:eastAsia="ru-RU"/>
                              </w:rPr>
                              <m:t>×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  <w:lang w:val="ru-RU" w:eastAsia="ru-RU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 w:eastAsia="ru-RU"/>
                                  </w:rPr>
                                  <m:t>1-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m,z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сниж МодНЦЗ</m:t>
                                    </m:r>
                                  </m:sup>
                                </m:sSubSup>
                              </m:e>
                            </m:d>
                          </m:e>
                        </m:nary>
                      </m:e>
                    </m:d>
                  </m:e>
                </m:nary>
                <m:r>
                  <w:rPr>
                    <w:rFonts w:ascii="Cambria Math" w:hAnsi="Cambria Math"/>
                    <w:szCs w:val="22"/>
                    <w:lang w:val="ru-RU" w:eastAsia="ru-RU"/>
                  </w:rPr>
                  <m:t xml:space="preserve">  ,</m:t>
                </m:r>
              </m:oMath>
            </m:oMathPara>
          </w:p>
          <w:p w14:paraId="105B4D81" w14:textId="77777777" w:rsidR="006E777C" w:rsidRPr="006E777C" w:rsidRDefault="006E777C" w:rsidP="006E777C">
            <w:pPr>
              <w:widowControl w:val="0"/>
              <w:spacing w:before="120" w:after="120"/>
              <w:ind w:left="709" w:hanging="432"/>
              <w:jc w:val="both"/>
              <w:rPr>
                <w:szCs w:val="22"/>
                <w:lang w:val="ru-RU" w:eastAsia="ru-RU"/>
              </w:rPr>
            </w:pPr>
            <w:r w:rsidRPr="006E777C">
              <w:rPr>
                <w:rFonts w:cs="Garamond"/>
                <w:bCs/>
                <w:szCs w:val="22"/>
                <w:lang w:val="ru-RU" w:eastAsia="ru-RU"/>
              </w:rPr>
              <w:t>где</w:t>
            </w:r>
            <w:r w:rsidRPr="006E777C">
              <w:rPr>
                <w:szCs w:val="22"/>
                <w:lang w:val="ru-RU"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q,m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мощн МодНЦЗ</m:t>
                  </m:r>
                </m:sup>
              </m:sSubSup>
            </m:oMath>
            <w:r w:rsidRPr="006E777C">
              <w:rPr>
                <w:szCs w:val="22"/>
                <w:lang w:val="ru-RU" w:eastAsia="ru-RU"/>
              </w:rPr>
              <w:t xml:space="preserve"> – регулируемая цена (тариф) на мощность для ГТП генерации </w:t>
            </w:r>
            <w:r w:rsidRPr="006E777C">
              <w:rPr>
                <w:i/>
                <w:szCs w:val="22"/>
                <w:lang w:val="en-US" w:eastAsia="ru-RU"/>
              </w:rPr>
              <w:t>q</w:t>
            </w:r>
            <w:r w:rsidRPr="006E777C">
              <w:rPr>
                <w:szCs w:val="22"/>
                <w:lang w:val="ru-RU" w:eastAsia="ru-RU"/>
              </w:rPr>
              <w:t xml:space="preserve">, определяемая в соответствии с приложением 163 к </w:t>
            </w:r>
            <w:r w:rsidRPr="006E777C">
              <w:rPr>
                <w:rFonts w:cs="Garamond"/>
                <w:bCs/>
                <w:i/>
                <w:szCs w:val="22"/>
                <w:lang w:val="ru-RU" w:eastAsia="ru-RU"/>
              </w:rPr>
              <w:t>Регламенту финансовых расчетов на оптовом рынке электроэнергии</w:t>
            </w:r>
            <w:r w:rsidRPr="006E777C">
              <w:rPr>
                <w:rFonts w:cs="Garamond"/>
                <w:bCs/>
                <w:szCs w:val="22"/>
                <w:lang w:val="ru-RU" w:eastAsia="ru-RU"/>
              </w:rPr>
              <w:t xml:space="preserve"> </w:t>
            </w:r>
            <w:r w:rsidRPr="006E777C">
              <w:rPr>
                <w:szCs w:val="22"/>
                <w:lang w:val="ru-RU" w:eastAsia="ru-RU"/>
              </w:rPr>
              <w:t>(Приложение № 16 к</w:t>
            </w:r>
            <w:r w:rsidRPr="006E777C">
              <w:rPr>
                <w:i/>
                <w:szCs w:val="22"/>
                <w:lang w:val="ru-RU" w:eastAsia="ru-RU"/>
              </w:rPr>
              <w:t xml:space="preserve"> Договору о присоединении к торговой системе оптового рынка</w:t>
            </w:r>
            <w:r w:rsidRPr="006E777C">
              <w:rPr>
                <w:szCs w:val="22"/>
                <w:lang w:val="ru-RU" w:eastAsia="ru-RU"/>
              </w:rPr>
              <w:t>);</w:t>
            </w:r>
          </w:p>
          <w:p w14:paraId="19B9157F" w14:textId="77777777" w:rsidR="006E777C" w:rsidRPr="006E777C" w:rsidRDefault="006E777C" w:rsidP="006E777C">
            <w:pPr>
              <w:widowControl w:val="0"/>
              <w:spacing w:before="120" w:after="120"/>
              <w:ind w:left="709"/>
              <w:jc w:val="both"/>
              <w:rPr>
                <w:szCs w:val="22"/>
                <w:lang w:val="ru-RU" w:eastAsia="ru-RU"/>
              </w:rPr>
            </w:pPr>
            <m:oMath>
              <m:r>
                <w:rPr>
                  <w:rFonts w:ascii="Cambria Math" w:hAnsi="Cambria Math"/>
                  <w:szCs w:val="22"/>
                  <w:lang w:val="ru-RU" w:eastAsia="ru-RU"/>
                </w:rPr>
                <m:t>OpE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q,m</m:t>
                  </m:r>
                </m:sub>
              </m:sSub>
            </m:oMath>
            <w:r w:rsidRPr="006E777C">
              <w:rPr>
                <w:szCs w:val="22"/>
                <w:lang w:val="ru-RU" w:eastAsia="ru-RU"/>
              </w:rPr>
              <w:t xml:space="preserve"> – значение удельных затрат на эксплуатацию генерирующего объекта в месяце </w:t>
            </w:r>
            <w:r w:rsidRPr="006E777C">
              <w:rPr>
                <w:i/>
                <w:szCs w:val="22"/>
                <w:lang w:val="ru-RU" w:eastAsia="ru-RU"/>
              </w:rPr>
              <w:t>m</w:t>
            </w:r>
            <w:r w:rsidRPr="006E777C">
              <w:rPr>
                <w:szCs w:val="22"/>
                <w:lang w:val="ru-RU" w:eastAsia="ru-RU"/>
              </w:rPr>
              <w:t xml:space="preserve"> для ГТП генерации </w:t>
            </w:r>
            <w:r w:rsidRPr="006E777C">
              <w:rPr>
                <w:i/>
                <w:szCs w:val="22"/>
                <w:lang w:val="en-US" w:eastAsia="ru-RU"/>
              </w:rPr>
              <w:t>q</w:t>
            </w:r>
            <w:r w:rsidRPr="006E777C">
              <w:rPr>
                <w:szCs w:val="22"/>
                <w:lang w:val="ru-RU" w:eastAsia="ru-RU"/>
              </w:rPr>
              <w:t xml:space="preserve">, определяемое в соответствии с приложением 163 к </w:t>
            </w:r>
            <w:r w:rsidRPr="006E777C">
              <w:rPr>
                <w:rFonts w:cs="Garamond"/>
                <w:bCs/>
                <w:i/>
                <w:szCs w:val="22"/>
                <w:lang w:val="ru-RU" w:eastAsia="ru-RU"/>
              </w:rPr>
              <w:t>Регламенту финансовых расчетов на оптовом рынке электроэнергии</w:t>
            </w:r>
            <w:r w:rsidRPr="006E777C">
              <w:rPr>
                <w:rFonts w:cs="Garamond"/>
                <w:bCs/>
                <w:szCs w:val="22"/>
                <w:lang w:val="ru-RU" w:eastAsia="ru-RU"/>
              </w:rPr>
              <w:t xml:space="preserve"> </w:t>
            </w:r>
            <w:r w:rsidRPr="006E777C">
              <w:rPr>
                <w:szCs w:val="22"/>
                <w:lang w:val="ru-RU" w:eastAsia="ru-RU"/>
              </w:rPr>
              <w:t>(Приложение № 16 к</w:t>
            </w:r>
            <w:r w:rsidRPr="006E777C">
              <w:rPr>
                <w:i/>
                <w:szCs w:val="22"/>
                <w:lang w:val="ru-RU" w:eastAsia="ru-RU"/>
              </w:rPr>
              <w:t xml:space="preserve"> Договору о присоединении к торговой системе оптового рынка</w:t>
            </w:r>
            <w:r w:rsidRPr="006E777C">
              <w:rPr>
                <w:szCs w:val="22"/>
                <w:lang w:val="ru-RU" w:eastAsia="ru-RU"/>
              </w:rPr>
              <w:t>);</w:t>
            </w:r>
          </w:p>
          <w:p w14:paraId="6C7A757C" w14:textId="77777777" w:rsidR="006E777C" w:rsidRPr="006E777C" w:rsidRDefault="006E777C" w:rsidP="006E777C">
            <w:pPr>
              <w:widowControl w:val="0"/>
              <w:spacing w:before="120" w:after="120"/>
              <w:ind w:left="709"/>
              <w:jc w:val="both"/>
              <w:rPr>
                <w:szCs w:val="22"/>
                <w:lang w:val="ru-RU" w:eastAsia="ru-RU"/>
              </w:rPr>
            </w:pPr>
            <m:oMath>
              <m:r>
                <w:rPr>
                  <w:rFonts w:ascii="Cambria Math" w:eastAsia="Cambria Math" w:hAnsi="Cambria Math" w:cs="Cambria Math"/>
                  <w:szCs w:val="22"/>
                  <w:lang w:val="ru-RU" w:eastAsia="ru-RU"/>
                </w:rPr>
                <m:t>q∈q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szCs w:val="22"/>
                      <w:lang w:val="ru-RU" w:eastAsia="ru-RU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szCs w:val="22"/>
                      <w:lang w:val="ru-RU" w:eastAsia="ru-RU"/>
                    </w:rPr>
                    <m:t>мод</m:t>
                  </m:r>
                </m:e>
              </m:d>
            </m:oMath>
            <w:r w:rsidRPr="006E777C">
              <w:rPr>
                <w:szCs w:val="22"/>
                <w:lang w:val="ru-RU" w:eastAsia="ru-RU"/>
              </w:rPr>
              <w:t xml:space="preserve"> – ГТП генерации, соответствующие генерирующим объектам, включенным в перечень генерирующих объектов в неценовых зонах;</w:t>
            </w:r>
          </w:p>
          <w:p w14:paraId="30FA19C6" w14:textId="77777777" w:rsidR="006E777C" w:rsidRPr="006E777C" w:rsidRDefault="006E777C" w:rsidP="006E777C">
            <w:pPr>
              <w:widowControl w:val="0"/>
              <w:spacing w:before="120" w:after="120"/>
              <w:ind w:left="709"/>
              <w:jc w:val="both"/>
              <w:rPr>
                <w:szCs w:val="22"/>
                <w:lang w:val="ru-RU" w:eastAsia="ru-RU"/>
              </w:rPr>
            </w:pPr>
            <m:oMath>
              <m:r>
                <w:rPr>
                  <w:rFonts w:ascii="Cambria Math" w:eastAsia="Cambria Math" w:hAnsi="Cambria Math" w:cs="Cambria Math"/>
                  <w:szCs w:val="22"/>
                  <w:lang w:val="ru-RU" w:eastAsia="ru-RU"/>
                </w:rPr>
                <m:t>q∈i</m:t>
              </m:r>
            </m:oMath>
            <w:r w:rsidRPr="006E777C">
              <w:rPr>
                <w:szCs w:val="22"/>
                <w:lang w:val="ru-RU" w:eastAsia="ru-RU"/>
              </w:rPr>
              <w:t xml:space="preserve"> – ГТП генерации, соответствующие генерирующим </w:t>
            </w:r>
            <w:r w:rsidRPr="006E777C">
              <w:rPr>
                <w:szCs w:val="22"/>
                <w:lang w:val="ru-RU" w:eastAsia="ru-RU"/>
              </w:rPr>
              <w:lastRenderedPageBreak/>
              <w:t xml:space="preserve">объектам, включенным в перечень генерирующих объектов в неценовых зонах, в целях частичной компенсации стоимости мощности которых Правительством Российской Федерации определен поставщик мощности </w:t>
            </w:r>
            <w:proofErr w:type="spellStart"/>
            <w:r w:rsidRPr="006E777C">
              <w:rPr>
                <w:i/>
                <w:szCs w:val="22"/>
                <w:lang w:val="en-US" w:eastAsia="ru-RU"/>
              </w:rPr>
              <w:t>i</w:t>
            </w:r>
            <w:proofErr w:type="spellEnd"/>
            <w:r w:rsidRPr="006E777C">
              <w:rPr>
                <w:szCs w:val="22"/>
                <w:lang w:val="ru-RU" w:eastAsia="ru-RU"/>
              </w:rPr>
              <w:t>;</w:t>
            </w:r>
          </w:p>
          <w:p w14:paraId="05BB80FF" w14:textId="77777777" w:rsidR="006E777C" w:rsidRPr="006E777C" w:rsidRDefault="003B29FF" w:rsidP="006E777C">
            <w:pPr>
              <w:widowControl w:val="0"/>
              <w:spacing w:before="120" w:after="120"/>
              <w:ind w:left="709"/>
              <w:jc w:val="both"/>
              <w:rPr>
                <w:szCs w:val="22"/>
                <w:lang w:val="ru-RU" w:eastAsia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факт,m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 xml:space="preserve">пост, </m:t>
                  </m:r>
                  <m:r>
                    <w:rPr>
                      <w:rFonts w:ascii="Cambria Math" w:hAnsi="Cambria Math"/>
                      <w:szCs w:val="22"/>
                      <w:lang w:val="en-US" w:eastAsia="ru-RU"/>
                    </w:rPr>
                    <m:t>q</m:t>
                  </m:r>
                </m:sup>
              </m:sSubSup>
            </m:oMath>
            <w:r w:rsidR="006E777C" w:rsidRPr="006E777C">
              <w:rPr>
                <w:szCs w:val="22"/>
                <w:lang w:val="ru-RU" w:eastAsia="ru-RU"/>
              </w:rPr>
              <w:t xml:space="preserve"> – объем мощности, фактически поставленной на оптовый рынок в отношении ГТП генерации </w:t>
            </w:r>
            <w:r w:rsidR="006E777C" w:rsidRPr="006E777C">
              <w:rPr>
                <w:i/>
                <w:szCs w:val="22"/>
                <w:lang w:val="en-US" w:eastAsia="ru-RU"/>
              </w:rPr>
              <w:t>q</w:t>
            </w:r>
            <w:r w:rsidR="006E777C" w:rsidRPr="006E777C">
              <w:rPr>
                <w:szCs w:val="22"/>
                <w:lang w:val="ru-RU" w:eastAsia="ru-RU"/>
              </w:rPr>
              <w:t xml:space="preserve"> в расчетном месяце </w:t>
            </w:r>
            <w:r w:rsidR="006E777C" w:rsidRPr="006E777C">
              <w:rPr>
                <w:i/>
                <w:szCs w:val="22"/>
                <w:lang w:val="en-US" w:eastAsia="ru-RU"/>
              </w:rPr>
              <w:t>m</w:t>
            </w:r>
            <w:r w:rsidR="006E777C" w:rsidRPr="006E777C">
              <w:rPr>
                <w:szCs w:val="22"/>
                <w:lang w:val="ru-RU" w:eastAsia="ru-RU"/>
              </w:rPr>
              <w:t xml:space="preserve">, определяемый в соответствии с </w:t>
            </w:r>
            <w:r w:rsidR="006E777C" w:rsidRPr="006E777C">
              <w:rPr>
                <w:i/>
                <w:szCs w:val="22"/>
                <w:lang w:val="ru-RU" w:eastAsia="ru-RU"/>
              </w:rPr>
              <w:t>Регламентом определения объемов фактически поставленной на оптовый рынок мощности</w:t>
            </w:r>
            <w:r w:rsidR="006E777C" w:rsidRPr="006E777C">
              <w:rPr>
                <w:szCs w:val="22"/>
                <w:lang w:val="ru-RU" w:eastAsia="ru-RU"/>
              </w:rPr>
              <w:t xml:space="preserve"> (Приложение № 13 к </w:t>
            </w:r>
            <w:r w:rsidR="006E777C" w:rsidRPr="006E777C">
              <w:rPr>
                <w:i/>
                <w:szCs w:val="22"/>
                <w:lang w:val="ru-RU" w:eastAsia="ru-RU"/>
              </w:rPr>
              <w:t>Договору о присоединении к торговой системе оптового рынка</w:t>
            </w:r>
            <w:r w:rsidR="006E777C" w:rsidRPr="006E777C">
              <w:rPr>
                <w:szCs w:val="22"/>
                <w:lang w:val="ru-RU" w:eastAsia="ru-RU"/>
              </w:rPr>
              <w:t>);</w:t>
            </w:r>
          </w:p>
          <w:p w14:paraId="055075BB" w14:textId="77777777" w:rsidR="006E777C" w:rsidRPr="006E777C" w:rsidRDefault="003B29FF" w:rsidP="006E777C">
            <w:pPr>
              <w:widowControl w:val="0"/>
              <w:spacing w:before="120" w:after="120"/>
              <w:ind w:left="709"/>
              <w:jc w:val="both"/>
              <w:rPr>
                <w:szCs w:val="22"/>
                <w:lang w:val="ru-RU" w:eastAsia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сниж МодНЦЗ</m:t>
                  </m:r>
                </m:sup>
              </m:sSubSup>
            </m:oMath>
            <w:r w:rsidR="006E777C" w:rsidRPr="006E777C">
              <w:rPr>
                <w:rFonts w:eastAsiaTheme="minorEastAsia"/>
                <w:szCs w:val="22"/>
                <w:lang w:val="ru-RU" w:eastAsia="ru-RU"/>
              </w:rPr>
              <w:t xml:space="preserve"> </w:t>
            </w:r>
            <w:r w:rsidR="006E777C" w:rsidRPr="006E777C">
              <w:rPr>
                <w:szCs w:val="22"/>
                <w:lang w:val="ru-RU" w:eastAsia="ru-RU"/>
              </w:rPr>
              <w:t xml:space="preserve">– 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коэффициент </w:t>
            </w:r>
            <w:r w:rsidR="006E777C" w:rsidRPr="006E777C">
              <w:rPr>
                <w:rFonts w:cs="Garamond"/>
                <w:szCs w:val="22"/>
                <w:lang w:val="ru-RU" w:eastAsia="ru-RU"/>
              </w:rPr>
              <w:t xml:space="preserve">снижения в отношении неценовой зоны </w:t>
            </w:r>
            <w:r w:rsidR="006E777C" w:rsidRPr="006E777C">
              <w:rPr>
                <w:rFonts w:cs="Garamond"/>
                <w:i/>
                <w:szCs w:val="22"/>
                <w:lang w:val="ru-RU" w:eastAsia="ru-RU"/>
              </w:rPr>
              <w:t>z</w:t>
            </w:r>
            <w:r w:rsidR="006E777C" w:rsidRPr="006E777C">
              <w:rPr>
                <w:rFonts w:cs="Garamond"/>
                <w:szCs w:val="22"/>
                <w:lang w:val="ru-RU" w:eastAsia="ru-RU"/>
              </w:rPr>
              <w:t xml:space="preserve">, в которой осуществляется поставка мощности генерирующим объектом, включенным в перечень генерирующих объектов в неценовых зонах, для месяца </w:t>
            </w:r>
            <w:r w:rsidR="006E777C" w:rsidRPr="006E777C">
              <w:rPr>
                <w:rFonts w:cs="Garamond"/>
                <w:i/>
                <w:szCs w:val="22"/>
                <w:lang w:val="ru-RU" w:eastAsia="ru-RU"/>
              </w:rPr>
              <w:t>m</w:t>
            </w:r>
            <w:r w:rsidR="006E777C" w:rsidRPr="006E777C">
              <w:rPr>
                <w:rFonts w:cs="Garamond"/>
                <w:szCs w:val="22"/>
                <w:lang w:val="ru-RU" w:eastAsia="ru-RU"/>
              </w:rPr>
              <w:t>, определяемый в соответствии с пунктом 15.6.6 настоящего Регламента</w:t>
            </w:r>
            <w:r w:rsidR="006E777C" w:rsidRPr="006E777C">
              <w:rPr>
                <w:szCs w:val="22"/>
                <w:lang w:val="ru-RU" w:eastAsia="ru-RU"/>
              </w:rPr>
              <w:t>;</w:t>
            </w:r>
          </w:p>
          <w:p w14:paraId="7AC13829" w14:textId="77777777" w:rsidR="006E777C" w:rsidRPr="006E777C" w:rsidRDefault="003B29FF" w:rsidP="006E777C">
            <w:pPr>
              <w:widowControl w:val="0"/>
              <w:spacing w:before="120" w:after="120"/>
              <w:ind w:left="709"/>
              <w:jc w:val="both"/>
              <w:rPr>
                <w:szCs w:val="22"/>
                <w:lang w:val="ru-RU" w:eastAsia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q,m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штр</m:t>
                  </m:r>
                </m:sup>
              </m:sSubSup>
            </m:oMath>
            <w:r w:rsidR="006E777C" w:rsidRPr="006E777C">
              <w:rPr>
                <w:rFonts w:eastAsiaTheme="minorEastAsia"/>
                <w:szCs w:val="22"/>
                <w:lang w:val="ru-RU" w:eastAsia="ru-RU"/>
              </w:rPr>
              <w:t xml:space="preserve"> </w:t>
            </w:r>
            <w:r w:rsidR="006E777C" w:rsidRPr="006E777C">
              <w:rPr>
                <w:szCs w:val="22"/>
                <w:lang w:val="ru-RU" w:eastAsia="ru-RU"/>
              </w:rPr>
              <w:t xml:space="preserve">– 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коэффициент снижения стоимости мощности, применяемый при просрочке исполнения обязательства по поставке мощности генерирующим объектом, включенным в перечень генерирующих объектов в неценовых зонах, для месяца </w:t>
            </w:r>
            <w:r w:rsidR="006E777C" w:rsidRPr="006E777C">
              <w:rPr>
                <w:rFonts w:cs="Garamond"/>
                <w:bCs/>
                <w:i/>
                <w:szCs w:val="22"/>
                <w:lang w:val="ru-RU" w:eastAsia="ru-RU"/>
              </w:rPr>
              <w:t>m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 в отношении ГТП генерации </w:t>
            </w:r>
            <w:r w:rsidR="006E777C" w:rsidRPr="006E777C">
              <w:rPr>
                <w:rFonts w:cs="Garamond"/>
                <w:bCs/>
                <w:i/>
                <w:szCs w:val="22"/>
                <w:lang w:val="ru-RU" w:eastAsia="ru-RU"/>
              </w:rPr>
              <w:t>q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, соответствующей данному генерирующему объекту, и определяемый в соответствии с пунктом 15.6.7 </w:t>
            </w:r>
            <w:r w:rsidR="006E777C" w:rsidRPr="006E777C">
              <w:rPr>
                <w:rFonts w:cs="Garamond"/>
                <w:szCs w:val="22"/>
                <w:lang w:val="ru-RU" w:eastAsia="ru-RU"/>
              </w:rPr>
              <w:t>настоящего Регламента</w:t>
            </w:r>
            <w:r w:rsidR="006E777C" w:rsidRPr="006E777C">
              <w:rPr>
                <w:szCs w:val="22"/>
                <w:lang w:val="ru-RU" w:eastAsia="ru-RU"/>
              </w:rPr>
              <w:t>;</w:t>
            </w:r>
          </w:p>
          <w:p w14:paraId="619463B2" w14:textId="77777777" w:rsidR="006E777C" w:rsidRPr="006E777C" w:rsidRDefault="003B29FF" w:rsidP="006E777C">
            <w:pPr>
              <w:widowControl w:val="0"/>
              <w:spacing w:before="120" w:after="120"/>
              <w:ind w:left="709"/>
              <w:jc w:val="both"/>
              <w:rPr>
                <w:rFonts w:cs="Garamond"/>
                <w:bCs/>
                <w:szCs w:val="22"/>
                <w:lang w:val="ru-RU" w:eastAsia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q,m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неполн</m:t>
                  </m:r>
                </m:sup>
              </m:sSubSup>
            </m:oMath>
            <w:r w:rsidR="006E777C" w:rsidRPr="006E777C">
              <w:rPr>
                <w:rFonts w:eastAsiaTheme="minorEastAsia"/>
                <w:szCs w:val="22"/>
                <w:lang w:val="ru-RU" w:eastAsia="ru-RU"/>
              </w:rPr>
              <w:t xml:space="preserve"> </w:t>
            </w:r>
            <w:r w:rsidR="006E777C" w:rsidRPr="006E777C">
              <w:rPr>
                <w:szCs w:val="22"/>
                <w:lang w:val="ru-RU" w:eastAsia="ru-RU"/>
              </w:rPr>
              <w:t xml:space="preserve">– 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коэффициент снижения стоимости мощности, применяемый в случае, если предельный объем поставки мощности в ГТП генерации </w:t>
            </w:r>
            <w:r w:rsidR="006E777C" w:rsidRPr="006E777C">
              <w:rPr>
                <w:rFonts w:cs="Garamond"/>
                <w:bCs/>
                <w:i/>
                <w:szCs w:val="22"/>
                <w:lang w:val="ru-RU" w:eastAsia="ru-RU"/>
              </w:rPr>
              <w:t>q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>, соответствующей</w:t>
            </w:r>
            <w:r w:rsidR="006E777C" w:rsidRPr="006E777C">
              <w:rPr>
                <w:rFonts w:cs="Garamond"/>
                <w:bCs/>
                <w:i/>
                <w:szCs w:val="22"/>
                <w:lang w:val="ru-RU" w:eastAsia="ru-RU"/>
              </w:rPr>
              <w:t xml:space="preserve"> 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генерирующему объекту, включенному в </w:t>
            </w:r>
            <w:hyperlink r:id="rId5" w:history="1">
              <w:r w:rsidR="006E777C" w:rsidRPr="006E777C">
                <w:rPr>
                  <w:rFonts w:cs="Garamond"/>
                  <w:bCs/>
                  <w:szCs w:val="22"/>
                  <w:lang w:val="ru-RU" w:eastAsia="ru-RU"/>
                </w:rPr>
                <w:t>перечень</w:t>
              </w:r>
            </w:hyperlink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 генерирующих объектов в неценовых зонах, в месяце </w:t>
            </w:r>
            <w:r w:rsidR="006E777C" w:rsidRPr="006E777C">
              <w:rPr>
                <w:rFonts w:cs="Garamond"/>
                <w:bCs/>
                <w:i/>
                <w:szCs w:val="22"/>
                <w:lang w:val="ru-RU" w:eastAsia="ru-RU"/>
              </w:rPr>
              <w:t>m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 более нуля, но менее объема, равного 90 процентам объема установленной мощности, указанного для данного генерирующего объекта в перечне генерирующих объектов в неценовых зонах, определяемый в соответствии с пунктом 15.6.8 </w:t>
            </w:r>
            <w:r w:rsidR="006E777C" w:rsidRPr="006E777C">
              <w:rPr>
                <w:rFonts w:cs="Garamond"/>
                <w:szCs w:val="22"/>
                <w:lang w:val="ru-RU" w:eastAsia="ru-RU"/>
              </w:rPr>
              <w:t>настоящего Регламента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>.</w:t>
            </w:r>
          </w:p>
          <w:p w14:paraId="14C18599" w14:textId="77777777" w:rsidR="006E777C" w:rsidRPr="006E777C" w:rsidRDefault="006E777C" w:rsidP="006E777C">
            <w:pPr>
              <w:spacing w:before="120" w:after="120"/>
              <w:jc w:val="both"/>
              <w:rPr>
                <w:rFonts w:cs="Garamond"/>
                <w:szCs w:val="22"/>
                <w:lang w:val="ru-RU" w:eastAsia="ru-RU"/>
              </w:rPr>
            </w:pPr>
            <w:r w:rsidRPr="006E777C">
              <w:rPr>
                <w:rFonts w:cs="Garamond"/>
                <w:szCs w:val="22"/>
                <w:lang w:val="ru-RU" w:eastAsia="ru-RU"/>
              </w:rPr>
              <w:t xml:space="preserve">КО определяет величину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szCs w:val="22"/>
                      <w:lang w:val="ru-RU" w:eastAsia="ru-RU"/>
                    </w:rPr>
                    <m:t>i,m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надб МодНЦЗ</m:t>
                  </m:r>
                </m:sup>
              </m:sSubSup>
            </m:oMath>
            <w:r w:rsidRPr="006E777C">
              <w:rPr>
                <w:rFonts w:eastAsiaTheme="minorEastAsia" w:cs="Garamond"/>
                <w:szCs w:val="22"/>
                <w:lang w:val="ru-RU" w:eastAsia="ru-RU"/>
              </w:rPr>
              <w:t xml:space="preserve"> </w:t>
            </w:r>
            <w:r w:rsidRPr="006E777C">
              <w:rPr>
                <w:rFonts w:cs="Garamond"/>
                <w:szCs w:val="22"/>
                <w:lang w:val="ru-RU" w:eastAsia="ru-RU"/>
              </w:rPr>
              <w:t xml:space="preserve">начиная с самого раннего месяца </w:t>
            </w:r>
            <w:r w:rsidRPr="006E777C">
              <w:rPr>
                <w:rFonts w:cs="Garamond"/>
                <w:i/>
                <w:szCs w:val="22"/>
                <w:lang w:val="en-US" w:eastAsia="ru-RU"/>
              </w:rPr>
              <w:t>m</w:t>
            </w:r>
            <w:r w:rsidRPr="006E777C">
              <w:rPr>
                <w:rFonts w:cs="Garamond"/>
                <w:szCs w:val="22"/>
                <w:lang w:val="ru-RU" w:eastAsia="ru-RU"/>
              </w:rPr>
              <w:t>, в котором одновременно выполнены два условия:</w:t>
            </w:r>
          </w:p>
          <w:p w14:paraId="5F2F0191" w14:textId="77777777" w:rsidR="006E777C" w:rsidRPr="006E777C" w:rsidRDefault="006E777C" w:rsidP="006E777C">
            <w:pPr>
              <w:spacing w:before="120" w:after="120"/>
              <w:jc w:val="both"/>
              <w:rPr>
                <w:rFonts w:cs="Garamond"/>
                <w:szCs w:val="22"/>
                <w:lang w:val="ru-RU" w:eastAsia="ru-RU"/>
              </w:rPr>
            </w:pPr>
            <w:r w:rsidRPr="006E777C">
              <w:rPr>
                <w:rFonts w:cs="Garamond"/>
                <w:szCs w:val="22"/>
                <w:lang w:val="ru-RU" w:eastAsia="ru-RU"/>
              </w:rPr>
              <w:t xml:space="preserve">- </w:t>
            </w:r>
            <w:r w:rsidRPr="006E777C">
              <w:rPr>
                <w:szCs w:val="22"/>
                <w:lang w:val="ru-RU" w:eastAsia="ru-RU"/>
              </w:rPr>
              <w:t xml:space="preserve">поставщик мощности </w:t>
            </w:r>
            <w:proofErr w:type="spellStart"/>
            <w:r w:rsidRPr="006E777C">
              <w:rPr>
                <w:i/>
                <w:szCs w:val="22"/>
                <w:lang w:val="en-US" w:eastAsia="ru-RU"/>
              </w:rPr>
              <w:t>i</w:t>
            </w:r>
            <w:proofErr w:type="spellEnd"/>
            <w:r w:rsidRPr="006E777C">
              <w:rPr>
                <w:i/>
                <w:szCs w:val="22"/>
                <w:lang w:val="ru-RU" w:eastAsia="ru-RU"/>
              </w:rPr>
              <w:t xml:space="preserve"> </w:t>
            </w:r>
            <w:r w:rsidRPr="006E777C">
              <w:rPr>
                <w:szCs w:val="22"/>
                <w:lang w:val="ru-RU" w:eastAsia="ru-RU"/>
              </w:rPr>
              <w:t xml:space="preserve">определен производителем электрической энергии (мощности), в отношении которого Правительством Российской Федерации принято решение о применении указанной надбавки в целях </w:t>
            </w:r>
            <w:r w:rsidRPr="006E777C">
              <w:rPr>
                <w:szCs w:val="22"/>
                <w:lang w:val="ru-RU" w:eastAsia="ru-RU"/>
              </w:rPr>
              <w:lastRenderedPageBreak/>
              <w:t>частичной компенсации стоимости мощности, поставленной в неценовой зоне с использованием генерирующих объектов, включенных в перечень генерирующих объектов в неценовых зонах (</w:t>
            </w:r>
            <m:oMath>
              <m:r>
                <w:rPr>
                  <w:rFonts w:ascii="Cambria Math" w:hAnsi="Cambria Math"/>
                  <w:szCs w:val="22"/>
                  <w:lang w:val="ru-RU" w:eastAsia="ru-RU"/>
                </w:rPr>
                <m:t>g</m:t>
              </m:r>
              <m:r>
                <w:rPr>
                  <w:rFonts w:ascii="Cambria Math" w:eastAsia="Cambria Math" w:hAnsi="Cambria Math" w:cs="Cambria Math"/>
                  <w:szCs w:val="22"/>
                  <w:lang w:val="ru-RU" w:eastAsia="ru-RU"/>
                </w:rPr>
                <m:t>∈i</m:t>
              </m:r>
            </m:oMath>
            <w:r w:rsidRPr="006E777C">
              <w:rPr>
                <w:rFonts w:eastAsiaTheme="minorEastAsia"/>
                <w:szCs w:val="22"/>
                <w:lang w:val="ru-RU" w:eastAsia="ru-RU"/>
              </w:rPr>
              <w:t>);</w:t>
            </w:r>
          </w:p>
          <w:p w14:paraId="295C005A" w14:textId="77777777" w:rsidR="006E777C" w:rsidRPr="006E777C" w:rsidRDefault="006E777C" w:rsidP="006E777C">
            <w:pPr>
              <w:spacing w:before="120" w:after="120"/>
              <w:jc w:val="both"/>
              <w:rPr>
                <w:szCs w:val="22"/>
                <w:lang w:val="ru-RU"/>
              </w:rPr>
            </w:pPr>
            <w:r w:rsidRPr="006E777C">
              <w:rPr>
                <w:rFonts w:cs="Garamond"/>
                <w:szCs w:val="22"/>
                <w:lang w:val="ru-RU" w:eastAsia="ru-RU"/>
              </w:rPr>
              <w:t xml:space="preserve">- началась поставка мощности хотя бы одним из указанных </w:t>
            </w:r>
            <w:r w:rsidRPr="006E777C">
              <w:rPr>
                <w:rFonts w:cs="Garamond"/>
                <w:bCs/>
                <w:szCs w:val="22"/>
                <w:lang w:val="ru-RU" w:eastAsia="ru-RU"/>
              </w:rPr>
              <w:t>генерирующих объектов (</w:t>
            </w:r>
            <m:oMath>
              <m:r>
                <w:rPr>
                  <w:rFonts w:ascii="Cambria Math" w:eastAsia="Cambria Math" w:hAnsi="Cambria Math" w:cs="Cambria Math"/>
                  <w:szCs w:val="22"/>
                  <w:lang w:val="ru-RU" w:eastAsia="ru-RU"/>
                </w:rPr>
                <m:t>g∈i</m:t>
              </m:r>
            </m:oMath>
            <w:r w:rsidRPr="006E777C">
              <w:rPr>
                <w:rFonts w:cs="Garamond"/>
                <w:bCs/>
                <w:szCs w:val="22"/>
                <w:lang w:val="ru-RU" w:eastAsia="ru-RU"/>
              </w:rPr>
              <w:t xml:space="preserve">). Под месяцем начала поставки понимается месяц </w:t>
            </w:r>
            <w:proofErr w:type="spellStart"/>
            <w:r w:rsidRPr="006E777C">
              <w:rPr>
                <w:rFonts w:cs="Garamond"/>
                <w:i/>
                <w:szCs w:val="22"/>
                <w:lang w:val="en-US" w:eastAsia="ru-RU"/>
              </w:rPr>
              <w:t>ms</w:t>
            </w:r>
            <w:proofErr w:type="spellEnd"/>
            <w:r w:rsidRPr="006E777C">
              <w:rPr>
                <w:rFonts w:cs="Garamond"/>
                <w:szCs w:val="22"/>
                <w:lang w:val="ru-RU" w:eastAsia="ru-RU"/>
              </w:rPr>
              <w:t xml:space="preserve">, определенный в соответствии с пунктом 1 </w:t>
            </w:r>
            <w:r w:rsidRPr="006E777C">
              <w:rPr>
                <w:szCs w:val="22"/>
                <w:lang w:val="ru-RU" w:eastAsia="ru-RU"/>
              </w:rPr>
              <w:t xml:space="preserve">приложения 163 к </w:t>
            </w:r>
            <w:r w:rsidRPr="006E777C">
              <w:rPr>
                <w:rFonts w:cs="Garamond"/>
                <w:bCs/>
                <w:i/>
                <w:szCs w:val="22"/>
                <w:lang w:val="ru-RU" w:eastAsia="ru-RU"/>
              </w:rPr>
              <w:t>Регламенту финансовых расчетов на оптовом рынке электроэнергии</w:t>
            </w:r>
            <w:r w:rsidRPr="006E777C">
              <w:rPr>
                <w:rFonts w:cs="Garamond"/>
                <w:bCs/>
                <w:szCs w:val="22"/>
                <w:lang w:val="ru-RU" w:eastAsia="ru-RU"/>
              </w:rPr>
              <w:t xml:space="preserve"> </w:t>
            </w:r>
            <w:r w:rsidRPr="006E777C">
              <w:rPr>
                <w:szCs w:val="22"/>
                <w:lang w:val="ru-RU" w:eastAsia="ru-RU"/>
              </w:rPr>
              <w:t>(Приложение № 16 к</w:t>
            </w:r>
            <w:r w:rsidRPr="006E777C">
              <w:rPr>
                <w:i/>
                <w:szCs w:val="22"/>
                <w:lang w:val="ru-RU" w:eastAsia="ru-RU"/>
              </w:rPr>
              <w:t xml:space="preserve"> Договору о присоединении к торговой системе оптового рынка</w:t>
            </w:r>
            <w:r w:rsidRPr="006E777C">
              <w:rPr>
                <w:szCs w:val="22"/>
                <w:lang w:val="ru-RU" w:eastAsia="ru-RU"/>
              </w:rPr>
              <w:t>).</w:t>
            </w:r>
          </w:p>
          <w:p w14:paraId="354BAB19" w14:textId="77777777" w:rsidR="00BC26EB" w:rsidRDefault="00BC26EB" w:rsidP="000C29CE">
            <w:pPr>
              <w:widowControl w:val="0"/>
              <w:spacing w:before="120" w:after="120"/>
              <w:ind w:left="1944"/>
              <w:jc w:val="both"/>
              <w:outlineLvl w:val="2"/>
              <w:rPr>
                <w:b/>
                <w:bCs/>
                <w:szCs w:val="22"/>
                <w:lang w:val="ru-RU" w:eastAsia="ru-RU"/>
              </w:rPr>
            </w:pPr>
          </w:p>
        </w:tc>
        <w:tc>
          <w:tcPr>
            <w:tcW w:w="6804" w:type="dxa"/>
          </w:tcPr>
          <w:p w14:paraId="361F3E4E" w14:textId="77777777" w:rsidR="006E777C" w:rsidRPr="006E777C" w:rsidRDefault="006E777C" w:rsidP="006E777C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cs="Garamond"/>
                <w:b/>
                <w:bCs/>
                <w:szCs w:val="22"/>
                <w:lang w:val="ru-RU"/>
              </w:rPr>
            </w:pPr>
            <w:r w:rsidRPr="006E777C">
              <w:rPr>
                <w:rFonts w:cs="Garamond"/>
                <w:b/>
                <w:bCs/>
                <w:szCs w:val="22"/>
                <w:lang w:val="ru-RU"/>
              </w:rPr>
              <w:lastRenderedPageBreak/>
              <w:t xml:space="preserve">15.6.10. Расчет размера средств, учитываемых в отношении участника оптового рынка – производителя электрической энергии (мощности), в отношении которого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помощью генерирующих объектов, включенных в перечень </w:t>
            </w:r>
            <w:r w:rsidRPr="006E777C">
              <w:rPr>
                <w:b/>
                <w:szCs w:val="22"/>
                <w:lang w:val="ru-RU"/>
              </w:rPr>
              <w:t>генерирующих объектов</w:t>
            </w:r>
            <w:r w:rsidRPr="006E777C">
              <w:rPr>
                <w:rFonts w:cs="Garamond"/>
                <w:b/>
                <w:bCs/>
                <w:szCs w:val="22"/>
                <w:lang w:val="ru-RU"/>
              </w:rPr>
              <w:t xml:space="preserve"> в неценовых </w:t>
            </w:r>
            <w:r w:rsidRPr="006E777C">
              <w:rPr>
                <w:rFonts w:cs="Garamond"/>
                <w:b/>
                <w:bCs/>
                <w:szCs w:val="22"/>
                <w:lang w:val="ru-RU"/>
              </w:rPr>
              <w:lastRenderedPageBreak/>
              <w:t>зонах</w:t>
            </w:r>
          </w:p>
          <w:p w14:paraId="67A5F9D8" w14:textId="77777777" w:rsidR="006E777C" w:rsidRPr="006E777C" w:rsidRDefault="006E777C" w:rsidP="006E777C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67"/>
              <w:jc w:val="both"/>
              <w:rPr>
                <w:szCs w:val="22"/>
                <w:lang w:val="ru-RU" w:eastAsia="ru-RU"/>
              </w:rPr>
            </w:pPr>
            <w:r w:rsidRPr="006E777C">
              <w:rPr>
                <w:szCs w:val="22"/>
                <w:lang w:val="ru-RU" w:eastAsia="ru-RU"/>
              </w:rPr>
              <w:t xml:space="preserve">Для целей определения надбавки, применяемой в соответствии с п. 13.1.4 </w:t>
            </w:r>
            <w:r w:rsidRPr="006E777C">
              <w:rPr>
                <w:i/>
                <w:iCs/>
                <w:szCs w:val="22"/>
                <w:lang w:val="ru-RU" w:eastAsia="ru-RU"/>
              </w:rPr>
              <w:t>Регламента финансовых расчетов на оптовом рынке электроэнергии</w:t>
            </w:r>
            <w:r w:rsidRPr="006E777C">
              <w:rPr>
                <w:iCs/>
                <w:szCs w:val="22"/>
                <w:lang w:val="ru-RU" w:eastAsia="ru-RU"/>
              </w:rPr>
              <w:t xml:space="preserve"> </w:t>
            </w:r>
            <w:r w:rsidRPr="006E777C">
              <w:rPr>
                <w:szCs w:val="22"/>
                <w:lang w:val="ru-RU" w:eastAsia="ru-RU"/>
              </w:rPr>
              <w:t xml:space="preserve">(Приложение № 16 к </w:t>
            </w:r>
            <w:r w:rsidRPr="006E777C">
              <w:rPr>
                <w:i/>
                <w:szCs w:val="22"/>
                <w:lang w:val="ru-RU" w:eastAsia="ru-RU"/>
              </w:rPr>
              <w:t>Договору о присоединении к торговой системе оптового рынка</w:t>
            </w:r>
            <w:r w:rsidRPr="006E777C">
              <w:rPr>
                <w:szCs w:val="22"/>
                <w:lang w:val="ru-RU" w:eastAsia="ru-RU"/>
              </w:rPr>
              <w:t xml:space="preserve">), при определении стоимости мощности КО рассчитывает размер средств, учитываемых в отношении участника оптового рынка </w:t>
            </w:r>
            <w:r w:rsidRPr="006E777C">
              <w:rPr>
                <w:i/>
                <w:szCs w:val="22"/>
                <w:lang w:val="ru-RU" w:eastAsia="ru-RU"/>
              </w:rPr>
              <w:t>i</w:t>
            </w:r>
            <w:r w:rsidRPr="006E777C">
              <w:rPr>
                <w:szCs w:val="22"/>
                <w:lang w:val="ru-RU" w:eastAsia="ru-RU"/>
              </w:rPr>
              <w:t xml:space="preserve"> – производителя электрической энергии (мощности), в отношении которого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помощью генерирующих объектов, включенных в перечень генерирующих объектов в неценовых зонах, для ценовых зон и месяца </w:t>
            </w:r>
            <w:r w:rsidRPr="006E777C">
              <w:rPr>
                <w:i/>
                <w:szCs w:val="22"/>
                <w:lang w:val="ru-RU" w:eastAsia="ru-RU"/>
              </w:rPr>
              <w:t>m</w:t>
            </w:r>
            <w:r w:rsidRPr="006E777C">
              <w:rPr>
                <w:szCs w:val="22"/>
                <w:lang w:val="ru-RU" w:eastAsia="ru-RU"/>
              </w:rPr>
              <w:t xml:space="preserve">, 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szCs w:val="22"/>
                      <w:lang w:val="ru-RU" w:eastAsia="ru-RU"/>
                    </w:rPr>
                    <m:t>i,m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надб МодНЦЗ</m:t>
                  </m: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up>
              </m:sSubSup>
            </m:oMath>
            <w:r w:rsidRPr="006E777C">
              <w:rPr>
                <w:szCs w:val="22"/>
                <w:lang w:val="ru-RU" w:eastAsia="ru-RU"/>
              </w:rPr>
              <w:t xml:space="preserve"> по формуле (с точностью до двух знаков после запятой):</w:t>
            </w:r>
          </w:p>
          <w:p w14:paraId="656EC68F" w14:textId="77777777" w:rsidR="006E777C" w:rsidRPr="006E777C" w:rsidRDefault="003B29FF" w:rsidP="006E777C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178"/>
              <w:jc w:val="both"/>
              <w:rPr>
                <w:szCs w:val="22"/>
                <w:lang w:val="ru-RU"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mbria Math" w:hAnsi="Cambria Math" w:cs="Cambria Math"/>
                        <w:i/>
                        <w:szCs w:val="22"/>
                        <w:lang w:val="ru-RU" w:eastAsia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lang w:val="ru-RU" w:eastAsia="ru-RU"/>
                      </w:rPr>
                      <m:t>S</m:t>
                    </m:r>
                    <m:ctrlPr>
                      <w:rPr>
                        <w:rFonts w:ascii="Cambria Math" w:hAnsi="Cambria Math"/>
                        <w:i/>
                        <w:szCs w:val="22"/>
                        <w:lang w:val="ru-RU" w:eastAsia="ru-RU"/>
                      </w:rPr>
                    </m:ctrlPr>
                  </m:e>
                  <m:sub>
                    <m:r>
                      <w:rPr>
                        <w:rFonts w:ascii="Cambria Math" w:eastAsia="Cambria Math" w:hAnsi="Cambria Math" w:cs="Cambria Math"/>
                        <w:szCs w:val="22"/>
                        <w:lang w:val="ru-RU" w:eastAsia="ru-RU"/>
                      </w:rPr>
                      <m:t>i,m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lang w:val="ru-RU" w:eastAsia="ru-RU"/>
                      </w:rPr>
                      <m:t>надб МодНЦЗ</m:t>
                    </m:r>
                  </m:sup>
                </m:sSubSup>
                <m:r>
                  <w:rPr>
                    <w:rFonts w:ascii="Cambria Math" w:eastAsia="Cambria Math" w:hAnsi="Cambria Math" w:cs="Cambria Math"/>
                    <w:szCs w:val="22"/>
                    <w:lang w:val="ru-RU" w:eastAsia="ru-RU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/>
                        <w:szCs w:val="22"/>
                        <w:lang w:val="ru-RU" w:eastAsia="ru-RU"/>
                      </w:rPr>
                    </m:ctrlPr>
                  </m:naryPr>
                  <m:sub>
                    <m:r>
                      <w:rPr>
                        <w:rFonts w:ascii="Cambria Math" w:eastAsia="Cambria Math" w:hAnsi="Cambria Math" w:cs="Cambria Math"/>
                        <w:szCs w:val="22"/>
                        <w:lang w:val="en-US" w:eastAsia="ru-RU"/>
                      </w:rPr>
                      <m:t>z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  <w:lang w:val="ru-RU" w:eastAsia="ru-RU"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grow m:val="1"/>
                            <m:ctrlPr>
                              <w:rPr>
                                <w:rFonts w:ascii="Cambria Math" w:hAnsi="Cambria Math"/>
                                <w:szCs w:val="22"/>
                                <w:lang w:val="ru-RU" w:eastAsia="ru-RU"/>
                              </w:rPr>
                            </m:ctrlPr>
                          </m:naryPr>
                          <m:sub>
                            <m:eqArr>
                              <m:eqArrPr>
                                <m:ctrlPr>
                                  <w:rPr>
                                    <w:rFonts w:ascii="Cambria Math" w:eastAsia="Cambria Math" w:hAnsi="Cambria Math" w:cs="Cambria Math"/>
                                    <w:i/>
                                    <w:szCs w:val="22"/>
                                    <w:lang w:val="ru-RU" w:eastAsia="ru-RU"/>
                                  </w:rPr>
                                </m:ctrlPr>
                              </m:eqArrPr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  <w:szCs w:val="22"/>
                                    <w:lang w:val="ru-RU" w:eastAsia="ru-RU"/>
                                  </w:rPr>
                                  <m:t>q∈i</m:t>
                                </m:r>
                              </m:e>
                              <m:e>
                                <m:r>
                                  <w:rPr>
                                    <w:rFonts w:ascii="Cambria Math" w:eastAsia="Cambria Math" w:hAnsi="Cambria Math" w:cs="Cambria Math"/>
                                    <w:szCs w:val="22"/>
                                    <w:lang w:val="ru-RU" w:eastAsia="ru-RU"/>
                                  </w:rPr>
                                  <m:t>q∈q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Cs w:val="22"/>
                                        <w:lang w:val="ru-RU" w:eastAsia="ru-RU"/>
                                      </w:rPr>
                                      <m:t>мод</m:t>
                                    </m:r>
                                  </m:e>
                                </m:d>
                              </m:e>
                            </m:eqArr>
                          </m:sub>
                          <m:sup/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  <w:lang w:val="ru-RU" w:eastAsia="ru-RU"/>
                                  </w:rPr>
                                </m:ctrlPr>
                              </m:d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dPr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2"/>
                                            <w:lang w:val="ru-RU" w:eastAsia="ru-RU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ru-RU" w:eastAsia="ru-RU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ru-RU" w:eastAsia="ru-RU"/>
                                          </w:rPr>
                                          <m:t>q,m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ru-RU" w:eastAsia="ru-RU"/>
                                          </w:rPr>
                                          <m:t>мощн МодНЦЗ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-OpE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2"/>
                                            <w:lang w:val="ru-RU" w:eastAsia="ru-RU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ru-RU" w:eastAsia="ru-RU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ru-RU" w:eastAsia="ru-RU"/>
                                          </w:rPr>
                                          <m:t>q,m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 xml:space="preserve"> 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 w:eastAsia="ru-RU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N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факт,m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 xml:space="preserve">пост, 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 w:eastAsia="ru-RU"/>
                                      </w:rPr>
                                      <m:t>q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 w:eastAsia="ru-RU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m,z</m:t>
                                    </m:r>
                                  </m:sub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szCs w:val="22"/>
                                        <w:lang w:val="ru-RU" w:eastAsia="ru-RU"/>
                                      </w:rPr>
                                      <m:t>мощ_сезон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 w:eastAsia="ru-RU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q,m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штр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 w:eastAsia="ru-RU"/>
                                  </w:rPr>
                                  <m:t>×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q,m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неполн</m:t>
                                    </m:r>
                                  </m:sup>
                                </m:sSubSup>
                              </m:e>
                            </m:d>
                            <m:r>
                              <w:rPr>
                                <w:rFonts w:ascii="Cambria Math" w:hAnsi="Cambria Math"/>
                                <w:szCs w:val="22"/>
                                <w:lang w:val="ru-RU" w:eastAsia="ru-RU"/>
                              </w:rPr>
                              <m:t>×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  <w:lang w:val="ru-RU" w:eastAsia="ru-RU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ru-RU" w:eastAsia="ru-RU"/>
                                  </w:rPr>
                                  <m:t>1-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  <w:lang w:val="ru-RU" w:eastAsia="ru-RU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m,z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ru-RU" w:eastAsia="ru-RU"/>
                                      </w:rPr>
                                      <m:t>сниж МодНЦЗ</m:t>
                                    </m:r>
                                  </m:sup>
                                </m:sSubSup>
                              </m:e>
                            </m:d>
                          </m:e>
                        </m:nary>
                      </m:e>
                    </m:d>
                  </m:e>
                </m:nary>
                <m:r>
                  <w:rPr>
                    <w:rFonts w:ascii="Cambria Math" w:hAnsi="Cambria Math"/>
                    <w:szCs w:val="22"/>
                    <w:lang w:val="ru-RU" w:eastAsia="ru-RU"/>
                  </w:rPr>
                  <m:t xml:space="preserve">  ,</m:t>
                </m:r>
              </m:oMath>
            </m:oMathPara>
          </w:p>
          <w:p w14:paraId="65C435C9" w14:textId="77777777" w:rsidR="006E777C" w:rsidRPr="006E777C" w:rsidRDefault="006E777C" w:rsidP="006E777C">
            <w:pPr>
              <w:widowControl w:val="0"/>
              <w:spacing w:before="120" w:after="120"/>
              <w:ind w:left="709" w:hanging="432"/>
              <w:jc w:val="both"/>
              <w:rPr>
                <w:szCs w:val="22"/>
                <w:lang w:val="ru-RU" w:eastAsia="ru-RU"/>
              </w:rPr>
            </w:pPr>
            <w:r w:rsidRPr="006E777C">
              <w:rPr>
                <w:rFonts w:cs="Garamond"/>
                <w:bCs/>
                <w:szCs w:val="22"/>
                <w:lang w:val="ru-RU" w:eastAsia="ru-RU"/>
              </w:rPr>
              <w:t>где</w:t>
            </w:r>
            <w:r w:rsidRPr="006E777C">
              <w:rPr>
                <w:szCs w:val="22"/>
                <w:lang w:val="ru-RU"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q,m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мощн МодНЦЗ</m:t>
                  </m:r>
                </m:sup>
              </m:sSubSup>
            </m:oMath>
            <w:r w:rsidRPr="006E777C">
              <w:rPr>
                <w:szCs w:val="22"/>
                <w:lang w:val="ru-RU" w:eastAsia="ru-RU"/>
              </w:rPr>
              <w:t xml:space="preserve"> – регулируемая цена (тариф) на мощность для ГТП генерации </w:t>
            </w:r>
            <w:r w:rsidRPr="006E777C">
              <w:rPr>
                <w:i/>
                <w:szCs w:val="22"/>
                <w:lang w:val="en-US" w:eastAsia="ru-RU"/>
              </w:rPr>
              <w:t>q</w:t>
            </w:r>
            <w:r w:rsidRPr="006E777C">
              <w:rPr>
                <w:szCs w:val="22"/>
                <w:lang w:val="ru-RU" w:eastAsia="ru-RU"/>
              </w:rPr>
              <w:t xml:space="preserve">, определяемая в соответствии с приложением 163 к </w:t>
            </w:r>
            <w:r w:rsidRPr="006E777C">
              <w:rPr>
                <w:rFonts w:cs="Garamond"/>
                <w:bCs/>
                <w:i/>
                <w:szCs w:val="22"/>
                <w:lang w:val="ru-RU" w:eastAsia="ru-RU"/>
              </w:rPr>
              <w:t>Регламенту финансовых расчетов на оптовом рынке электроэнергии</w:t>
            </w:r>
            <w:r w:rsidRPr="006E777C">
              <w:rPr>
                <w:rFonts w:cs="Garamond"/>
                <w:bCs/>
                <w:szCs w:val="22"/>
                <w:lang w:val="ru-RU" w:eastAsia="ru-RU"/>
              </w:rPr>
              <w:t xml:space="preserve"> </w:t>
            </w:r>
            <w:r w:rsidRPr="006E777C">
              <w:rPr>
                <w:szCs w:val="22"/>
                <w:lang w:val="ru-RU" w:eastAsia="ru-RU"/>
              </w:rPr>
              <w:t>(Приложение № 16 к</w:t>
            </w:r>
            <w:r w:rsidRPr="006E777C">
              <w:rPr>
                <w:i/>
                <w:szCs w:val="22"/>
                <w:lang w:val="ru-RU" w:eastAsia="ru-RU"/>
              </w:rPr>
              <w:t xml:space="preserve"> Договору о присоединении к торговой системе оптового рынка</w:t>
            </w:r>
            <w:r w:rsidRPr="006E777C">
              <w:rPr>
                <w:szCs w:val="22"/>
                <w:lang w:val="ru-RU" w:eastAsia="ru-RU"/>
              </w:rPr>
              <w:t>);</w:t>
            </w:r>
          </w:p>
          <w:p w14:paraId="3350580E" w14:textId="77777777" w:rsidR="006E777C" w:rsidRPr="006E777C" w:rsidRDefault="006E777C" w:rsidP="006E777C">
            <w:pPr>
              <w:widowControl w:val="0"/>
              <w:spacing w:before="120" w:after="120"/>
              <w:ind w:left="709"/>
              <w:jc w:val="both"/>
              <w:rPr>
                <w:szCs w:val="22"/>
                <w:lang w:val="ru-RU" w:eastAsia="ru-RU"/>
              </w:rPr>
            </w:pPr>
            <m:oMath>
              <m:r>
                <w:rPr>
                  <w:rFonts w:ascii="Cambria Math" w:hAnsi="Cambria Math"/>
                  <w:szCs w:val="22"/>
                  <w:lang w:val="ru-RU" w:eastAsia="ru-RU"/>
                </w:rPr>
                <m:t>OpE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q,m</m:t>
                  </m:r>
                </m:sub>
              </m:sSub>
            </m:oMath>
            <w:r w:rsidRPr="006E777C">
              <w:rPr>
                <w:szCs w:val="22"/>
                <w:lang w:val="ru-RU" w:eastAsia="ru-RU"/>
              </w:rPr>
              <w:t xml:space="preserve"> – значение удельных затрат на эксплуатацию генерирующего объекта в месяце </w:t>
            </w:r>
            <w:r w:rsidRPr="006E777C">
              <w:rPr>
                <w:i/>
                <w:szCs w:val="22"/>
                <w:lang w:val="ru-RU" w:eastAsia="ru-RU"/>
              </w:rPr>
              <w:t>m</w:t>
            </w:r>
            <w:r w:rsidRPr="006E777C">
              <w:rPr>
                <w:szCs w:val="22"/>
                <w:lang w:val="ru-RU" w:eastAsia="ru-RU"/>
              </w:rPr>
              <w:t xml:space="preserve"> для ГТП генерации </w:t>
            </w:r>
            <w:r w:rsidRPr="006E777C">
              <w:rPr>
                <w:i/>
                <w:szCs w:val="22"/>
                <w:lang w:val="en-US" w:eastAsia="ru-RU"/>
              </w:rPr>
              <w:t>q</w:t>
            </w:r>
            <w:r w:rsidRPr="006E777C">
              <w:rPr>
                <w:szCs w:val="22"/>
                <w:lang w:val="ru-RU" w:eastAsia="ru-RU"/>
              </w:rPr>
              <w:t xml:space="preserve">, определяемое в соответствии с приложением 163 к </w:t>
            </w:r>
            <w:r w:rsidRPr="006E777C">
              <w:rPr>
                <w:rFonts w:cs="Garamond"/>
                <w:bCs/>
                <w:i/>
                <w:szCs w:val="22"/>
                <w:lang w:val="ru-RU" w:eastAsia="ru-RU"/>
              </w:rPr>
              <w:t>Регламенту финансовых расчетов на оптовом рынке электроэнергии</w:t>
            </w:r>
            <w:r w:rsidRPr="006E777C">
              <w:rPr>
                <w:rFonts w:cs="Garamond"/>
                <w:bCs/>
                <w:szCs w:val="22"/>
                <w:lang w:val="ru-RU" w:eastAsia="ru-RU"/>
              </w:rPr>
              <w:t xml:space="preserve"> </w:t>
            </w:r>
            <w:r w:rsidRPr="006E777C">
              <w:rPr>
                <w:szCs w:val="22"/>
                <w:lang w:val="ru-RU" w:eastAsia="ru-RU"/>
              </w:rPr>
              <w:t>(Приложение № 16 к</w:t>
            </w:r>
            <w:r w:rsidRPr="006E777C">
              <w:rPr>
                <w:i/>
                <w:szCs w:val="22"/>
                <w:lang w:val="ru-RU" w:eastAsia="ru-RU"/>
              </w:rPr>
              <w:t xml:space="preserve"> Договору о присоединении к торговой системе оптового рынка</w:t>
            </w:r>
            <w:r w:rsidRPr="006E777C">
              <w:rPr>
                <w:szCs w:val="22"/>
                <w:lang w:val="ru-RU" w:eastAsia="ru-RU"/>
              </w:rPr>
              <w:t>);</w:t>
            </w:r>
          </w:p>
          <w:p w14:paraId="2C4EEA7A" w14:textId="77777777" w:rsidR="006E777C" w:rsidRPr="006E777C" w:rsidRDefault="006E777C" w:rsidP="006E777C">
            <w:pPr>
              <w:widowControl w:val="0"/>
              <w:spacing w:before="120" w:after="120"/>
              <w:ind w:left="709"/>
              <w:jc w:val="both"/>
              <w:rPr>
                <w:szCs w:val="22"/>
                <w:lang w:val="ru-RU" w:eastAsia="ru-RU"/>
              </w:rPr>
            </w:pPr>
            <m:oMath>
              <m:r>
                <w:rPr>
                  <w:rFonts w:ascii="Cambria Math" w:eastAsia="Cambria Math" w:hAnsi="Cambria Math" w:cs="Cambria Math"/>
                  <w:szCs w:val="22"/>
                  <w:lang w:val="ru-RU" w:eastAsia="ru-RU"/>
                </w:rPr>
                <m:t>q∈q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i/>
                      <w:szCs w:val="22"/>
                      <w:lang w:val="ru-RU" w:eastAsia="ru-RU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szCs w:val="22"/>
                      <w:lang w:val="ru-RU" w:eastAsia="ru-RU"/>
                    </w:rPr>
                    <m:t>мод</m:t>
                  </m:r>
                </m:e>
              </m:d>
            </m:oMath>
            <w:r w:rsidRPr="006E777C">
              <w:rPr>
                <w:szCs w:val="22"/>
                <w:lang w:val="ru-RU" w:eastAsia="ru-RU"/>
              </w:rPr>
              <w:t xml:space="preserve"> – ГТП генерации, соответствующие генерирующим </w:t>
            </w:r>
            <w:r w:rsidRPr="006E777C">
              <w:rPr>
                <w:szCs w:val="22"/>
                <w:lang w:val="ru-RU" w:eastAsia="ru-RU"/>
              </w:rPr>
              <w:lastRenderedPageBreak/>
              <w:t>объектам, включенным в перечень генерирующих объектов в неценовых зонах;</w:t>
            </w:r>
          </w:p>
          <w:p w14:paraId="6A86188B" w14:textId="77777777" w:rsidR="006E777C" w:rsidRPr="006E777C" w:rsidRDefault="006E777C" w:rsidP="006E777C">
            <w:pPr>
              <w:widowControl w:val="0"/>
              <w:spacing w:before="120" w:after="120"/>
              <w:ind w:left="709"/>
              <w:jc w:val="both"/>
              <w:rPr>
                <w:szCs w:val="22"/>
                <w:lang w:val="ru-RU" w:eastAsia="ru-RU"/>
              </w:rPr>
            </w:pPr>
            <m:oMath>
              <m:r>
                <w:rPr>
                  <w:rFonts w:ascii="Cambria Math" w:eastAsia="Cambria Math" w:hAnsi="Cambria Math" w:cs="Cambria Math"/>
                  <w:szCs w:val="22"/>
                  <w:lang w:val="ru-RU" w:eastAsia="ru-RU"/>
                </w:rPr>
                <m:t>q∈i</m:t>
              </m:r>
            </m:oMath>
            <w:r w:rsidRPr="006E777C">
              <w:rPr>
                <w:szCs w:val="22"/>
                <w:lang w:val="ru-RU" w:eastAsia="ru-RU"/>
              </w:rPr>
              <w:t xml:space="preserve"> – ГТП генерации, соответствующие генерирующим объектам, включенным в перечень генерирующих объектов в неценовых зонах, в целях частичной компенсации стоимости мощности которых Правительством Российской Федерации определен поставщик мощности </w:t>
            </w:r>
            <w:proofErr w:type="spellStart"/>
            <w:r w:rsidRPr="006E777C">
              <w:rPr>
                <w:i/>
                <w:szCs w:val="22"/>
                <w:lang w:val="en-US" w:eastAsia="ru-RU"/>
              </w:rPr>
              <w:t>i</w:t>
            </w:r>
            <w:proofErr w:type="spellEnd"/>
            <w:r w:rsidRPr="006E777C">
              <w:rPr>
                <w:szCs w:val="22"/>
                <w:lang w:val="ru-RU" w:eastAsia="ru-RU"/>
              </w:rPr>
              <w:t>;</w:t>
            </w:r>
          </w:p>
          <w:p w14:paraId="35687E9D" w14:textId="77777777" w:rsidR="006E777C" w:rsidRPr="006E777C" w:rsidRDefault="003B29FF" w:rsidP="006E777C">
            <w:pPr>
              <w:widowControl w:val="0"/>
              <w:spacing w:before="120" w:after="120"/>
              <w:ind w:left="709"/>
              <w:jc w:val="both"/>
              <w:rPr>
                <w:szCs w:val="22"/>
                <w:lang w:val="ru-RU" w:eastAsia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факт,m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 xml:space="preserve">пост, </m:t>
                  </m:r>
                  <m:r>
                    <w:rPr>
                      <w:rFonts w:ascii="Cambria Math" w:hAnsi="Cambria Math"/>
                      <w:szCs w:val="22"/>
                      <w:lang w:val="en-US" w:eastAsia="ru-RU"/>
                    </w:rPr>
                    <m:t>q</m:t>
                  </m:r>
                </m:sup>
              </m:sSubSup>
            </m:oMath>
            <w:r w:rsidR="006E777C" w:rsidRPr="006E777C">
              <w:rPr>
                <w:szCs w:val="22"/>
                <w:lang w:val="ru-RU" w:eastAsia="ru-RU"/>
              </w:rPr>
              <w:t xml:space="preserve"> – объем мощности, фактически поставленной на оптовый рынок в отношении ГТП генерации </w:t>
            </w:r>
            <w:r w:rsidR="006E777C" w:rsidRPr="006E777C">
              <w:rPr>
                <w:i/>
                <w:szCs w:val="22"/>
                <w:lang w:val="en-US" w:eastAsia="ru-RU"/>
              </w:rPr>
              <w:t>q</w:t>
            </w:r>
            <w:r w:rsidR="006E777C" w:rsidRPr="006E777C">
              <w:rPr>
                <w:szCs w:val="22"/>
                <w:lang w:val="ru-RU" w:eastAsia="ru-RU"/>
              </w:rPr>
              <w:t xml:space="preserve"> в расчетном месяце </w:t>
            </w:r>
            <w:r w:rsidR="006E777C" w:rsidRPr="006E777C">
              <w:rPr>
                <w:i/>
                <w:szCs w:val="22"/>
                <w:lang w:val="en-US" w:eastAsia="ru-RU"/>
              </w:rPr>
              <w:t>m</w:t>
            </w:r>
            <w:r w:rsidR="006E777C" w:rsidRPr="006E777C">
              <w:rPr>
                <w:szCs w:val="22"/>
                <w:lang w:val="ru-RU" w:eastAsia="ru-RU"/>
              </w:rPr>
              <w:t xml:space="preserve">, определяемый в соответствии с </w:t>
            </w:r>
            <w:r w:rsidR="006E777C" w:rsidRPr="006E777C">
              <w:rPr>
                <w:i/>
                <w:szCs w:val="22"/>
                <w:lang w:val="ru-RU" w:eastAsia="ru-RU"/>
              </w:rPr>
              <w:t>Регламентом определения объемов фактически поставленной на оптовый рынок мощности</w:t>
            </w:r>
            <w:r w:rsidR="006E777C" w:rsidRPr="006E777C">
              <w:rPr>
                <w:szCs w:val="22"/>
                <w:lang w:val="ru-RU" w:eastAsia="ru-RU"/>
              </w:rPr>
              <w:t xml:space="preserve"> (Приложение № 13 к </w:t>
            </w:r>
            <w:r w:rsidR="006E777C" w:rsidRPr="006E777C">
              <w:rPr>
                <w:i/>
                <w:szCs w:val="22"/>
                <w:lang w:val="ru-RU" w:eastAsia="ru-RU"/>
              </w:rPr>
              <w:t>Договору о присоединении к торговой системе оптового рынка</w:t>
            </w:r>
            <w:r w:rsidR="006E777C" w:rsidRPr="006E777C">
              <w:rPr>
                <w:szCs w:val="22"/>
                <w:lang w:val="ru-RU" w:eastAsia="ru-RU"/>
              </w:rPr>
              <w:t>);</w:t>
            </w:r>
          </w:p>
          <w:p w14:paraId="04CE1904" w14:textId="77777777" w:rsidR="006E777C" w:rsidRPr="006E777C" w:rsidRDefault="003B29FF" w:rsidP="006E777C">
            <w:pPr>
              <w:widowControl w:val="0"/>
              <w:spacing w:before="120" w:after="120"/>
              <w:ind w:left="709"/>
              <w:jc w:val="both"/>
              <w:rPr>
                <w:szCs w:val="22"/>
                <w:lang w:val="ru-RU" w:eastAsia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m,z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сниж МодНЦЗ</m:t>
                  </m:r>
                </m:sup>
              </m:sSubSup>
            </m:oMath>
            <w:r w:rsidR="006E777C" w:rsidRPr="006E777C">
              <w:rPr>
                <w:rFonts w:eastAsiaTheme="minorEastAsia"/>
                <w:szCs w:val="22"/>
                <w:lang w:val="ru-RU" w:eastAsia="ru-RU"/>
              </w:rPr>
              <w:t xml:space="preserve"> </w:t>
            </w:r>
            <w:r w:rsidR="006E777C" w:rsidRPr="006E777C">
              <w:rPr>
                <w:szCs w:val="22"/>
                <w:lang w:val="ru-RU" w:eastAsia="ru-RU"/>
              </w:rPr>
              <w:t xml:space="preserve">– 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коэффициент </w:t>
            </w:r>
            <w:r w:rsidR="006E777C" w:rsidRPr="006E777C">
              <w:rPr>
                <w:rFonts w:cs="Garamond"/>
                <w:szCs w:val="22"/>
                <w:lang w:val="ru-RU" w:eastAsia="ru-RU"/>
              </w:rPr>
              <w:t xml:space="preserve">снижения в отношении неценовой зоны </w:t>
            </w:r>
            <w:r w:rsidR="006E777C" w:rsidRPr="006E777C">
              <w:rPr>
                <w:rFonts w:cs="Garamond"/>
                <w:i/>
                <w:szCs w:val="22"/>
                <w:lang w:val="ru-RU" w:eastAsia="ru-RU"/>
              </w:rPr>
              <w:t>z</w:t>
            </w:r>
            <w:r w:rsidR="006E777C" w:rsidRPr="006E777C">
              <w:rPr>
                <w:rFonts w:cs="Garamond"/>
                <w:szCs w:val="22"/>
                <w:lang w:val="ru-RU" w:eastAsia="ru-RU"/>
              </w:rPr>
              <w:t xml:space="preserve">, в которой осуществляется поставка мощности генерирующим объектом, включенным в перечень генерирующих объектов в неценовых зонах, для месяца </w:t>
            </w:r>
            <w:r w:rsidR="006E777C" w:rsidRPr="006E777C">
              <w:rPr>
                <w:rFonts w:cs="Garamond"/>
                <w:i/>
                <w:szCs w:val="22"/>
                <w:lang w:val="ru-RU" w:eastAsia="ru-RU"/>
              </w:rPr>
              <w:t>m</w:t>
            </w:r>
            <w:r w:rsidR="006E777C" w:rsidRPr="006E777C">
              <w:rPr>
                <w:rFonts w:cs="Garamond"/>
                <w:szCs w:val="22"/>
                <w:lang w:val="ru-RU" w:eastAsia="ru-RU"/>
              </w:rPr>
              <w:t>, определяемый в соответствии с пунктом 15.6.6 настоящего Регламента</w:t>
            </w:r>
            <w:r w:rsidR="006E777C" w:rsidRPr="006E777C">
              <w:rPr>
                <w:szCs w:val="22"/>
                <w:lang w:val="ru-RU" w:eastAsia="ru-RU"/>
              </w:rPr>
              <w:t>;</w:t>
            </w:r>
          </w:p>
          <w:p w14:paraId="71A268F8" w14:textId="77777777" w:rsidR="006E777C" w:rsidRPr="006E777C" w:rsidRDefault="003B29FF" w:rsidP="006E777C">
            <w:pPr>
              <w:widowControl w:val="0"/>
              <w:spacing w:before="120" w:after="120"/>
              <w:ind w:left="709"/>
              <w:jc w:val="both"/>
              <w:rPr>
                <w:szCs w:val="22"/>
                <w:lang w:val="ru-RU" w:eastAsia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q,m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штр</m:t>
                  </m:r>
                </m:sup>
              </m:sSubSup>
            </m:oMath>
            <w:r w:rsidR="006E777C" w:rsidRPr="006E777C">
              <w:rPr>
                <w:rFonts w:eastAsiaTheme="minorEastAsia"/>
                <w:szCs w:val="22"/>
                <w:lang w:val="ru-RU" w:eastAsia="ru-RU"/>
              </w:rPr>
              <w:t xml:space="preserve"> </w:t>
            </w:r>
            <w:r w:rsidR="006E777C" w:rsidRPr="006E777C">
              <w:rPr>
                <w:szCs w:val="22"/>
                <w:lang w:val="ru-RU" w:eastAsia="ru-RU"/>
              </w:rPr>
              <w:t xml:space="preserve">– 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коэффициент снижения стоимости мощности, применяемый при просрочке исполнения обязательства по поставке мощности генерирующим объектом, включенным в перечень генерирующих объектов в неценовых зонах, для месяца </w:t>
            </w:r>
            <w:r w:rsidR="006E777C" w:rsidRPr="006E777C">
              <w:rPr>
                <w:rFonts w:cs="Garamond"/>
                <w:bCs/>
                <w:i/>
                <w:szCs w:val="22"/>
                <w:lang w:val="ru-RU" w:eastAsia="ru-RU"/>
              </w:rPr>
              <w:t>m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 в отношении ГТП генерации </w:t>
            </w:r>
            <w:r w:rsidR="006E777C" w:rsidRPr="006E777C">
              <w:rPr>
                <w:rFonts w:cs="Garamond"/>
                <w:bCs/>
                <w:i/>
                <w:szCs w:val="22"/>
                <w:lang w:val="ru-RU" w:eastAsia="ru-RU"/>
              </w:rPr>
              <w:t>q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, соответствующей данному генерирующему объекту, и определяемый в соответствии с пунктом 15.6.7 </w:t>
            </w:r>
            <w:r w:rsidR="006E777C" w:rsidRPr="006E777C">
              <w:rPr>
                <w:rFonts w:cs="Garamond"/>
                <w:szCs w:val="22"/>
                <w:lang w:val="ru-RU" w:eastAsia="ru-RU"/>
              </w:rPr>
              <w:t>настоящего Регламента</w:t>
            </w:r>
            <w:r w:rsidR="006E777C" w:rsidRPr="006E777C">
              <w:rPr>
                <w:szCs w:val="22"/>
                <w:lang w:val="ru-RU" w:eastAsia="ru-RU"/>
              </w:rPr>
              <w:t>;</w:t>
            </w:r>
          </w:p>
          <w:p w14:paraId="7EA1ECF9" w14:textId="77777777" w:rsidR="006E777C" w:rsidRPr="006E777C" w:rsidRDefault="003B29FF" w:rsidP="006E777C">
            <w:pPr>
              <w:widowControl w:val="0"/>
              <w:spacing w:before="120" w:after="120"/>
              <w:ind w:left="709"/>
              <w:jc w:val="both"/>
              <w:rPr>
                <w:rFonts w:cs="Garamond"/>
                <w:bCs/>
                <w:szCs w:val="22"/>
                <w:lang w:val="ru-RU" w:eastAsia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q,m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неполн</m:t>
                  </m:r>
                </m:sup>
              </m:sSubSup>
            </m:oMath>
            <w:r w:rsidR="006E777C" w:rsidRPr="006E777C">
              <w:rPr>
                <w:rFonts w:eastAsiaTheme="minorEastAsia"/>
                <w:szCs w:val="22"/>
                <w:lang w:val="ru-RU" w:eastAsia="ru-RU"/>
              </w:rPr>
              <w:t xml:space="preserve"> </w:t>
            </w:r>
            <w:r w:rsidR="006E777C" w:rsidRPr="006E777C">
              <w:rPr>
                <w:szCs w:val="22"/>
                <w:lang w:val="ru-RU" w:eastAsia="ru-RU"/>
              </w:rPr>
              <w:t xml:space="preserve">– 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коэффициент снижения стоимости мощности, применяемый в случае, если предельный объем поставки мощности в ГТП генерации </w:t>
            </w:r>
            <w:r w:rsidR="006E777C" w:rsidRPr="006E777C">
              <w:rPr>
                <w:rFonts w:cs="Garamond"/>
                <w:bCs/>
                <w:i/>
                <w:szCs w:val="22"/>
                <w:lang w:val="ru-RU" w:eastAsia="ru-RU"/>
              </w:rPr>
              <w:t>q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>, соответствующей</w:t>
            </w:r>
            <w:r w:rsidR="006E777C" w:rsidRPr="006E777C">
              <w:rPr>
                <w:rFonts w:cs="Garamond"/>
                <w:bCs/>
                <w:i/>
                <w:szCs w:val="22"/>
                <w:lang w:val="ru-RU" w:eastAsia="ru-RU"/>
              </w:rPr>
              <w:t xml:space="preserve"> 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генерирующему объекту, включенному в </w:t>
            </w:r>
            <w:hyperlink r:id="rId6" w:history="1">
              <w:r w:rsidR="006E777C" w:rsidRPr="006E777C">
                <w:rPr>
                  <w:rFonts w:cs="Garamond"/>
                  <w:bCs/>
                  <w:szCs w:val="22"/>
                  <w:lang w:val="ru-RU" w:eastAsia="ru-RU"/>
                </w:rPr>
                <w:t>перечень</w:t>
              </w:r>
            </w:hyperlink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 генерирующих объектов в неценовых зонах, в месяце </w:t>
            </w:r>
            <w:r w:rsidR="006E777C" w:rsidRPr="006E777C">
              <w:rPr>
                <w:rFonts w:cs="Garamond"/>
                <w:bCs/>
                <w:i/>
                <w:szCs w:val="22"/>
                <w:lang w:val="ru-RU" w:eastAsia="ru-RU"/>
              </w:rPr>
              <w:t>m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 xml:space="preserve"> более нуля, но менее объема, равного 90 процентам объема установленной мощности, указанного для данного генерирующего объекта в перечне генерирующих объектов в неценовых зонах, определяемый в соответствии с пунктом 15.6.8 </w:t>
            </w:r>
            <w:r w:rsidR="006E777C" w:rsidRPr="006E777C">
              <w:rPr>
                <w:rFonts w:cs="Garamond"/>
                <w:szCs w:val="22"/>
                <w:lang w:val="ru-RU" w:eastAsia="ru-RU"/>
              </w:rPr>
              <w:t>настоящего Регламента</w:t>
            </w:r>
            <w:r w:rsidR="006E777C" w:rsidRPr="006E777C">
              <w:rPr>
                <w:rFonts w:cs="Garamond"/>
                <w:bCs/>
                <w:szCs w:val="22"/>
                <w:lang w:val="ru-RU" w:eastAsia="ru-RU"/>
              </w:rPr>
              <w:t>.</w:t>
            </w:r>
          </w:p>
          <w:p w14:paraId="20B22E3B" w14:textId="79D9C8B7" w:rsidR="000113C1" w:rsidRPr="006E777C" w:rsidRDefault="000113C1" w:rsidP="000113C1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67"/>
              <w:jc w:val="both"/>
              <w:rPr>
                <w:szCs w:val="22"/>
                <w:highlight w:val="yellow"/>
                <w:lang w:val="ru-RU" w:eastAsia="ru-RU"/>
              </w:rPr>
            </w:pPr>
            <w:r w:rsidRPr="006E777C">
              <w:rPr>
                <w:szCs w:val="22"/>
                <w:highlight w:val="yellow"/>
                <w:lang w:val="ru-RU" w:eastAsia="ru-RU"/>
              </w:rPr>
              <w:lastRenderedPageBreak/>
              <w:t xml:space="preserve">Для целей </w:t>
            </w:r>
            <w:r w:rsidRPr="000113C1">
              <w:rPr>
                <w:szCs w:val="22"/>
                <w:highlight w:val="yellow"/>
                <w:lang w:val="ru-RU" w:eastAsia="ru-RU"/>
              </w:rPr>
              <w:t xml:space="preserve">формирования аналитических отчетов </w:t>
            </w:r>
            <w:r w:rsidRPr="006E777C">
              <w:rPr>
                <w:szCs w:val="22"/>
                <w:highlight w:val="yellow"/>
                <w:lang w:val="ru-RU" w:eastAsia="ru-RU"/>
              </w:rPr>
              <w:t>в соответствии с</w:t>
            </w:r>
            <w:r w:rsidR="00EA4A9D">
              <w:rPr>
                <w:szCs w:val="22"/>
                <w:highlight w:val="yellow"/>
                <w:lang w:val="ru-RU" w:eastAsia="ru-RU"/>
              </w:rPr>
              <w:t xml:space="preserve"> </w:t>
            </w:r>
            <w:r>
              <w:rPr>
                <w:szCs w:val="22"/>
                <w:highlight w:val="yellow"/>
                <w:lang w:val="ru-RU" w:eastAsia="ru-RU"/>
              </w:rPr>
              <w:t xml:space="preserve"> приложением </w:t>
            </w:r>
            <w:r w:rsidR="00EA4A9D">
              <w:rPr>
                <w:szCs w:val="22"/>
                <w:highlight w:val="yellow"/>
                <w:lang w:val="ru-RU" w:eastAsia="ru-RU"/>
              </w:rPr>
              <w:t>13 к настоящему Регламенту</w:t>
            </w:r>
            <w:r w:rsidRPr="006E777C">
              <w:rPr>
                <w:szCs w:val="22"/>
                <w:highlight w:val="yellow"/>
                <w:lang w:val="ru-RU" w:eastAsia="ru-RU"/>
              </w:rPr>
              <w:t xml:space="preserve"> </w:t>
            </w:r>
            <w:r w:rsidRPr="000113C1">
              <w:rPr>
                <w:szCs w:val="22"/>
                <w:highlight w:val="yellow"/>
                <w:lang w:val="ru-RU" w:eastAsia="ru-RU"/>
              </w:rPr>
              <w:t xml:space="preserve">в отношении ГТП генерации </w:t>
            </w:r>
            <w:r w:rsidRPr="000113C1">
              <w:rPr>
                <w:i/>
                <w:szCs w:val="22"/>
                <w:highlight w:val="yellow"/>
                <w:lang w:val="ru-RU" w:eastAsia="ru-RU"/>
              </w:rPr>
              <w:t>q</w:t>
            </w:r>
            <w:r w:rsidRPr="000113C1">
              <w:rPr>
                <w:szCs w:val="22"/>
                <w:highlight w:val="yellow"/>
                <w:lang w:val="ru-RU" w:eastAsia="ru-RU"/>
              </w:rPr>
              <w:t xml:space="preserve"> и расчетного месяца </w:t>
            </w:r>
            <w:r w:rsidRPr="000113C1">
              <w:rPr>
                <w:i/>
                <w:szCs w:val="22"/>
                <w:highlight w:val="yellow"/>
                <w:lang w:val="ru-RU" w:eastAsia="ru-RU"/>
              </w:rPr>
              <w:t>m</w:t>
            </w:r>
            <w:r w:rsidRPr="006E777C">
              <w:rPr>
                <w:szCs w:val="22"/>
                <w:highlight w:val="yellow"/>
                <w:lang w:val="ru-RU" w:eastAsia="ru-RU"/>
              </w:rPr>
              <w:t xml:space="preserve"> КО рассчитывает размер средств, учитываемых в отношении участника оптового рынка </w:t>
            </w:r>
            <w:r w:rsidRPr="006E777C">
              <w:rPr>
                <w:i/>
                <w:szCs w:val="22"/>
                <w:highlight w:val="yellow"/>
                <w:lang w:val="ru-RU" w:eastAsia="ru-RU"/>
              </w:rPr>
              <w:t>i</w:t>
            </w:r>
            <w:r w:rsidRPr="006E777C">
              <w:rPr>
                <w:szCs w:val="22"/>
                <w:highlight w:val="yellow"/>
                <w:lang w:val="ru-RU" w:eastAsia="ru-RU"/>
              </w:rPr>
              <w:t xml:space="preserve"> – производителя электрической энергии (мощности), в отношении которого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помощью генерирующих объектов, включенных в перечень генерирующих объектов в неценовых зонах, для ценовых зон и месяца </w:t>
            </w:r>
            <w:r w:rsidRPr="006E777C">
              <w:rPr>
                <w:i/>
                <w:szCs w:val="22"/>
                <w:highlight w:val="yellow"/>
                <w:lang w:val="ru-RU" w:eastAsia="ru-RU"/>
              </w:rPr>
              <w:t>m</w:t>
            </w:r>
            <w:r w:rsidRPr="006E777C">
              <w:rPr>
                <w:szCs w:val="22"/>
                <w:highlight w:val="yellow"/>
                <w:lang w:val="ru-RU" w:eastAsia="ru-RU"/>
              </w:rPr>
              <w:t xml:space="preserve">, </w:t>
            </w:r>
            <w:r w:rsidRPr="000113C1">
              <w:rPr>
                <w:szCs w:val="22"/>
                <w:highlight w:val="yellow"/>
                <w:lang w:val="ru-RU" w:eastAsia="ru-RU"/>
              </w:rPr>
              <w:t xml:space="preserve">и </w:t>
            </w:r>
            <w:r w:rsidR="00C00A5A">
              <w:rPr>
                <w:szCs w:val="22"/>
                <w:highlight w:val="yellow"/>
                <w:lang w:val="ru-RU" w:eastAsia="ru-RU"/>
              </w:rPr>
              <w:t>приходящийся</w:t>
            </w:r>
            <w:r w:rsidRPr="000113C1">
              <w:rPr>
                <w:szCs w:val="22"/>
                <w:highlight w:val="yellow"/>
                <w:lang w:val="ru-RU" w:eastAsia="ru-RU"/>
              </w:rPr>
              <w:t xml:space="preserve"> на ГТП генерации </w:t>
            </w:r>
            <w:r w:rsidRPr="000113C1">
              <w:rPr>
                <w:i/>
                <w:szCs w:val="22"/>
                <w:highlight w:val="yellow"/>
                <w:lang w:val="ru-RU" w:eastAsia="ru-RU"/>
              </w:rPr>
              <w:t>q</w:t>
            </w:r>
            <w:r w:rsidRPr="000113C1">
              <w:rPr>
                <w:szCs w:val="22"/>
                <w:highlight w:val="yellow"/>
                <w:lang w:val="ru-RU" w:eastAsia="ru-RU"/>
              </w:rPr>
              <w:t>,</w:t>
            </w:r>
            <w:r w:rsidR="00C00A5A" w:rsidRPr="000113C1">
              <w:rPr>
                <w:szCs w:val="22"/>
                <w:highlight w:val="yellow"/>
                <w:lang w:val="ru-RU" w:eastAsia="ru-RU"/>
              </w:rPr>
              <w:t xml:space="preserve"> включенную в перечень генерирующих объектов в неценовых зонах</w:t>
            </w:r>
            <w:r w:rsidR="00C00A5A">
              <w:rPr>
                <w:szCs w:val="22"/>
                <w:highlight w:val="yellow"/>
                <w:lang w:val="ru-RU" w:eastAsia="ru-RU"/>
              </w:rPr>
              <w:t>,</w:t>
            </w:r>
            <w:r w:rsidRPr="006E777C">
              <w:rPr>
                <w:szCs w:val="22"/>
                <w:highlight w:val="yellow"/>
                <w:lang w:val="ru-RU"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ru-RU" w:eastAsia="ru-RU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ru-RU" w:eastAsia="ru-RU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 w:eastAsia="ru-RU"/>
                    </w:rPr>
                    <m:t>i,q,m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  <w:lang w:val="ru-RU" w:eastAsia="ru-RU"/>
                    </w:rPr>
                    <m:t>надб МодНЦЗ</m:t>
                  </m: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ru-RU" w:eastAsia="ru-RU"/>
                    </w:rPr>
                  </m:ctrlPr>
                </m:sup>
              </m:sSubSup>
            </m:oMath>
            <w:r w:rsidRPr="006E777C">
              <w:rPr>
                <w:szCs w:val="22"/>
                <w:highlight w:val="yellow"/>
                <w:lang w:val="ru-RU" w:eastAsia="ru-RU"/>
              </w:rPr>
              <w:t xml:space="preserve"> по формуле (с точностью до двух знаков после запятой):</w:t>
            </w:r>
          </w:p>
          <w:p w14:paraId="1185372C" w14:textId="1A6875A2" w:rsidR="000113C1" w:rsidRPr="006E777C" w:rsidRDefault="003B29FF" w:rsidP="006E777C">
            <w:pPr>
              <w:spacing w:before="120" w:after="120"/>
              <w:jc w:val="both"/>
              <w:rPr>
                <w:szCs w:val="22"/>
                <w:lang w:val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mbria Math" w:hAnsi="Cambria Math" w:cs="Cambria Math"/>
                        <w:i/>
                        <w:szCs w:val="22"/>
                        <w:highlight w:val="yellow"/>
                        <w:lang w:val="ru-RU" w:eastAsia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  <w:lang w:val="ru-RU" w:eastAsia="ru-RU"/>
                      </w:rPr>
                      <m:t>S</m:t>
                    </m: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  <w:lang w:val="ru-RU" w:eastAsia="ru-RU"/>
                      </w:rPr>
                    </m:ctrlPr>
                  </m:e>
                  <m:sub>
                    <m:r>
                      <w:rPr>
                        <w:rFonts w:ascii="Cambria Math" w:eastAsia="Cambria Math" w:hAnsi="Cambria Math" w:cs="Cambria Math"/>
                        <w:szCs w:val="22"/>
                        <w:highlight w:val="yellow"/>
                        <w:lang w:val="ru-RU" w:eastAsia="ru-RU"/>
                      </w:rPr>
                      <m:t>i,q,m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  <w:lang w:val="ru-RU" w:eastAsia="ru-RU"/>
                      </w:rPr>
                      <m:t>надб МодНЦЗ</m:t>
                    </m:r>
                  </m:sup>
                </m:sSubSup>
                <m:r>
                  <w:rPr>
                    <w:rFonts w:ascii="Cambria Math" w:eastAsia="Cambria Math" w:hAnsi="Cambria Math" w:cs="Cambria Math"/>
                    <w:szCs w:val="22"/>
                    <w:highlight w:val="yellow"/>
                    <w:lang w:val="ru-RU" w:eastAsia="ru-RU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  <w:lang w:val="ru-RU" w:eastAsia="ru-RU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  <w:lang w:val="ru-RU" w:eastAsia="ru-RU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highlight w:val="yellow"/>
                                <w:lang w:val="ru-RU" w:eastAsia="ru-RU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ru-RU" w:eastAsia="ru-RU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ru-RU" w:eastAsia="ru-RU"/>
                              </w:rPr>
                              <m:t>q,m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ru-RU" w:eastAsia="ru-RU"/>
                              </w:rPr>
                              <m:t>мощн МодНЦЗ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-OpE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highlight w:val="yellow"/>
                                <w:lang w:val="ru-RU"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ru-RU" w:eastAsia="ru-RU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ru-RU" w:eastAsia="ru-RU"/>
                              </w:rPr>
                              <m:t>q,m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 xml:space="preserve"> </m:t>
                        </m:r>
                      </m:e>
                    </m:d>
                    <m:r>
                      <w:rPr>
                        <w:rFonts w:ascii="Cambria Math" w:hAnsi="Cambria Math"/>
                        <w:szCs w:val="22"/>
                        <w:highlight w:val="yellow"/>
                        <w:lang w:val="ru-RU" w:eastAsia="ru-RU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  <w:lang w:val="ru-RU"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факт,m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 xml:space="preserve">пост, </m:t>
                        </m:r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en-US" w:eastAsia="ru-RU"/>
                          </w:rPr>
                          <m:t>q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2"/>
                        <w:highlight w:val="yellow"/>
                        <w:lang w:val="ru-RU" w:eastAsia="ru-RU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  <w:lang w:val="ru-RU"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m,z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szCs w:val="22"/>
                            <w:highlight w:val="yellow"/>
                            <w:lang w:val="ru-RU" w:eastAsia="ru-RU"/>
                          </w:rPr>
                          <m:t>мощ_сезон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2"/>
                        <w:highlight w:val="yellow"/>
                        <w:lang w:val="ru-RU" w:eastAsia="ru-RU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  <w:lang w:val="ru-RU"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q,m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штр</m:t>
                        </m:r>
                      </m:sup>
                    </m:sSubSup>
                    <m:r>
                      <w:rPr>
                        <w:rFonts w:ascii="Cambria Math" w:hAnsi="Cambria Math"/>
                        <w:szCs w:val="22"/>
                        <w:highlight w:val="yellow"/>
                        <w:lang w:val="ru-RU" w:eastAsia="ru-RU"/>
                      </w:rPr>
                      <m:t>×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  <w:lang w:val="ru-RU"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q,m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неполн</m:t>
                        </m:r>
                      </m:sup>
                    </m:sSubSup>
                  </m:e>
                </m:d>
                <m:r>
                  <w:rPr>
                    <w:rFonts w:ascii="Cambria Math" w:hAnsi="Cambria Math"/>
                    <w:szCs w:val="22"/>
                    <w:highlight w:val="yellow"/>
                    <w:lang w:val="ru-RU" w:eastAsia="ru-RU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  <w:lang w:val="ru-RU" w:eastAsia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  <w:lang w:val="ru-RU" w:eastAsia="ru-RU"/>
                      </w:rPr>
                      <m:t>1-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  <w:lang w:val="ru-RU" w:eastAsia="ru-RU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m,z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ru-RU" w:eastAsia="ru-RU"/>
                          </w:rPr>
                          <m:t>сниж МодНЦЗ</m:t>
                        </m:r>
                      </m:sup>
                    </m:sSubSup>
                  </m:e>
                </m:d>
                <m:r>
                  <w:rPr>
                    <w:rFonts w:ascii="Cambria Math" w:hAnsi="Cambria Math"/>
                    <w:szCs w:val="22"/>
                    <w:lang w:val="ru-RU" w:eastAsia="ru-RU"/>
                  </w:rPr>
                  <m:t xml:space="preserve"> .</m:t>
                </m:r>
              </m:oMath>
            </m:oMathPara>
          </w:p>
          <w:p w14:paraId="70FBA81A" w14:textId="44695337" w:rsidR="00EA4A9D" w:rsidRPr="006E777C" w:rsidRDefault="00EA4A9D" w:rsidP="00EA4A9D">
            <w:pPr>
              <w:spacing w:before="120" w:after="120"/>
              <w:jc w:val="both"/>
              <w:rPr>
                <w:rFonts w:cs="Garamond"/>
                <w:szCs w:val="22"/>
                <w:lang w:val="ru-RU" w:eastAsia="ru-RU"/>
              </w:rPr>
            </w:pPr>
            <w:r w:rsidRPr="006E777C">
              <w:rPr>
                <w:rFonts w:cs="Garamond"/>
                <w:szCs w:val="22"/>
                <w:lang w:val="ru-RU" w:eastAsia="ru-RU"/>
              </w:rPr>
              <w:t xml:space="preserve">КО определяет величину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szCs w:val="22"/>
                      <w:lang w:val="ru-RU" w:eastAsia="ru-RU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szCs w:val="22"/>
                      <w:lang w:val="ru-RU" w:eastAsia="ru-RU"/>
                    </w:rPr>
                    <m:t>i,m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 w:eastAsia="ru-RU"/>
                    </w:rPr>
                    <m:t>надб МодНЦЗ</m:t>
                  </m:r>
                </m:sup>
              </m:sSubSup>
            </m:oMath>
            <w:r w:rsidRPr="006E777C">
              <w:rPr>
                <w:rFonts w:eastAsiaTheme="minorEastAsia" w:cs="Garamond"/>
                <w:szCs w:val="22"/>
                <w:lang w:val="ru-RU" w:eastAsia="ru-RU"/>
              </w:rPr>
              <w:t xml:space="preserve"> </w:t>
            </w:r>
            <w:r w:rsidRPr="00EA4A9D">
              <w:rPr>
                <w:rFonts w:eastAsiaTheme="minorEastAsia" w:cs="Garamond"/>
                <w:szCs w:val="22"/>
                <w:highlight w:val="yellow"/>
                <w:lang w:val="ru-RU" w:eastAsia="ru-RU"/>
              </w:rPr>
              <w:t xml:space="preserve">и аналитические величины </w:t>
            </w:r>
            <m:oMath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ru-RU" w:eastAsia="ru-RU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ru-RU" w:eastAsia="ru-RU"/>
                    </w:rPr>
                  </m:ctrlPr>
                </m:e>
                <m:sub>
                  <m:r>
                    <w:rPr>
                      <w:rFonts w:ascii="Cambria Math" w:eastAsia="Cambria Math" w:hAnsi="Cambria Math" w:cs="Cambria Math"/>
                      <w:szCs w:val="22"/>
                      <w:highlight w:val="yellow"/>
                      <w:lang w:val="ru-RU" w:eastAsia="ru-RU"/>
                    </w:rPr>
                    <m:t>i,q,m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  <w:lang w:val="ru-RU" w:eastAsia="ru-RU"/>
                    </w:rPr>
                    <m:t>надб МодНЦЗ</m:t>
                  </m:r>
                </m:sup>
              </m:sSubSup>
            </m:oMath>
            <w:r>
              <w:rPr>
                <w:rFonts w:eastAsiaTheme="minorEastAsia" w:cs="Garamond"/>
                <w:szCs w:val="22"/>
                <w:lang w:val="ru-RU" w:eastAsia="ru-RU"/>
              </w:rPr>
              <w:t xml:space="preserve"> </w:t>
            </w:r>
            <w:r w:rsidRPr="006E777C">
              <w:rPr>
                <w:rFonts w:cs="Garamond"/>
                <w:szCs w:val="22"/>
                <w:lang w:val="ru-RU" w:eastAsia="ru-RU"/>
              </w:rPr>
              <w:t xml:space="preserve">начиная с самого раннего месяца </w:t>
            </w:r>
            <w:r w:rsidRPr="006E777C">
              <w:rPr>
                <w:rFonts w:cs="Garamond"/>
                <w:i/>
                <w:szCs w:val="22"/>
                <w:lang w:val="en-US" w:eastAsia="ru-RU"/>
              </w:rPr>
              <w:t>m</w:t>
            </w:r>
            <w:r w:rsidRPr="006E777C">
              <w:rPr>
                <w:rFonts w:cs="Garamond"/>
                <w:szCs w:val="22"/>
                <w:lang w:val="ru-RU" w:eastAsia="ru-RU"/>
              </w:rPr>
              <w:t>, в котором одновременно выполнены два условия:</w:t>
            </w:r>
          </w:p>
          <w:p w14:paraId="016CF30C" w14:textId="77777777" w:rsidR="00EA4A9D" w:rsidRPr="006E777C" w:rsidRDefault="00EA4A9D" w:rsidP="00EA4A9D">
            <w:pPr>
              <w:spacing w:before="120" w:after="120"/>
              <w:jc w:val="both"/>
              <w:rPr>
                <w:rFonts w:cs="Garamond"/>
                <w:szCs w:val="22"/>
                <w:lang w:val="ru-RU" w:eastAsia="ru-RU"/>
              </w:rPr>
            </w:pPr>
            <w:r w:rsidRPr="006E777C">
              <w:rPr>
                <w:rFonts w:cs="Garamond"/>
                <w:szCs w:val="22"/>
                <w:lang w:val="ru-RU" w:eastAsia="ru-RU"/>
              </w:rPr>
              <w:t xml:space="preserve">- </w:t>
            </w:r>
            <w:r w:rsidRPr="006E777C">
              <w:rPr>
                <w:szCs w:val="22"/>
                <w:lang w:val="ru-RU" w:eastAsia="ru-RU"/>
              </w:rPr>
              <w:t xml:space="preserve">поставщик мощности </w:t>
            </w:r>
            <w:proofErr w:type="spellStart"/>
            <w:r w:rsidRPr="006E777C">
              <w:rPr>
                <w:i/>
                <w:szCs w:val="22"/>
                <w:lang w:val="en-US" w:eastAsia="ru-RU"/>
              </w:rPr>
              <w:t>i</w:t>
            </w:r>
            <w:proofErr w:type="spellEnd"/>
            <w:r w:rsidRPr="006E777C">
              <w:rPr>
                <w:i/>
                <w:szCs w:val="22"/>
                <w:lang w:val="ru-RU" w:eastAsia="ru-RU"/>
              </w:rPr>
              <w:t xml:space="preserve"> </w:t>
            </w:r>
            <w:r w:rsidRPr="006E777C">
              <w:rPr>
                <w:szCs w:val="22"/>
                <w:lang w:val="ru-RU" w:eastAsia="ru-RU"/>
              </w:rPr>
              <w:t>определен производителем электрической энергии (мощности), в отношении которого Правительством Российской Федерации принято решение о применении указанной надбавки в целях частичной компенсации стоимости мощности, поставленной в неценовой зоне с использованием генерирующих объектов, включенных в перечень генерирующих объектов в неценовых зонах (</w:t>
            </w:r>
            <m:oMath>
              <m:r>
                <w:rPr>
                  <w:rFonts w:ascii="Cambria Math" w:hAnsi="Cambria Math"/>
                  <w:szCs w:val="22"/>
                  <w:lang w:val="ru-RU" w:eastAsia="ru-RU"/>
                </w:rPr>
                <m:t>g</m:t>
              </m:r>
              <m:r>
                <w:rPr>
                  <w:rFonts w:ascii="Cambria Math" w:eastAsia="Cambria Math" w:hAnsi="Cambria Math" w:cs="Cambria Math"/>
                  <w:szCs w:val="22"/>
                  <w:lang w:val="ru-RU" w:eastAsia="ru-RU"/>
                </w:rPr>
                <m:t>∈i</m:t>
              </m:r>
            </m:oMath>
            <w:r w:rsidRPr="006E777C">
              <w:rPr>
                <w:rFonts w:eastAsiaTheme="minorEastAsia"/>
                <w:szCs w:val="22"/>
                <w:lang w:val="ru-RU" w:eastAsia="ru-RU"/>
              </w:rPr>
              <w:t>);</w:t>
            </w:r>
          </w:p>
          <w:p w14:paraId="4BB4C1BD" w14:textId="077D93A5" w:rsidR="00EA4A9D" w:rsidRDefault="00EA4A9D" w:rsidP="00EA4A9D">
            <w:pPr>
              <w:spacing w:before="120" w:after="120"/>
              <w:jc w:val="both"/>
              <w:rPr>
                <w:szCs w:val="22"/>
                <w:lang w:val="ru-RU" w:eastAsia="ru-RU"/>
              </w:rPr>
            </w:pPr>
            <w:r w:rsidRPr="006E777C">
              <w:rPr>
                <w:rFonts w:cs="Garamond"/>
                <w:szCs w:val="22"/>
                <w:lang w:val="ru-RU" w:eastAsia="ru-RU"/>
              </w:rPr>
              <w:t xml:space="preserve">- началась поставка мощности хотя бы одним из указанных </w:t>
            </w:r>
            <w:r w:rsidRPr="006E777C">
              <w:rPr>
                <w:rFonts w:cs="Garamond"/>
                <w:bCs/>
                <w:szCs w:val="22"/>
                <w:lang w:val="ru-RU" w:eastAsia="ru-RU"/>
              </w:rPr>
              <w:t>генерирующих объектов (</w:t>
            </w:r>
            <m:oMath>
              <m:r>
                <w:rPr>
                  <w:rFonts w:ascii="Cambria Math" w:eastAsia="Cambria Math" w:hAnsi="Cambria Math" w:cs="Cambria Math"/>
                  <w:szCs w:val="22"/>
                  <w:lang w:val="ru-RU" w:eastAsia="ru-RU"/>
                </w:rPr>
                <m:t>g∈i</m:t>
              </m:r>
            </m:oMath>
            <w:r w:rsidRPr="006E777C">
              <w:rPr>
                <w:rFonts w:cs="Garamond"/>
                <w:bCs/>
                <w:szCs w:val="22"/>
                <w:lang w:val="ru-RU" w:eastAsia="ru-RU"/>
              </w:rPr>
              <w:t xml:space="preserve">). Под месяцем начала поставки понимается месяц </w:t>
            </w:r>
            <w:proofErr w:type="spellStart"/>
            <w:r w:rsidRPr="006E777C">
              <w:rPr>
                <w:rFonts w:cs="Garamond"/>
                <w:i/>
                <w:szCs w:val="22"/>
                <w:lang w:val="en-US" w:eastAsia="ru-RU"/>
              </w:rPr>
              <w:t>ms</w:t>
            </w:r>
            <w:proofErr w:type="spellEnd"/>
            <w:r w:rsidRPr="006E777C">
              <w:rPr>
                <w:rFonts w:cs="Garamond"/>
                <w:szCs w:val="22"/>
                <w:lang w:val="ru-RU" w:eastAsia="ru-RU"/>
              </w:rPr>
              <w:t xml:space="preserve">, определенный в соответствии с пунктом 1 </w:t>
            </w:r>
            <w:r w:rsidRPr="006E777C">
              <w:rPr>
                <w:szCs w:val="22"/>
                <w:lang w:val="ru-RU" w:eastAsia="ru-RU"/>
              </w:rPr>
              <w:t xml:space="preserve">приложения 163 к </w:t>
            </w:r>
            <w:r w:rsidRPr="006E777C">
              <w:rPr>
                <w:rFonts w:cs="Garamond"/>
                <w:bCs/>
                <w:i/>
                <w:szCs w:val="22"/>
                <w:lang w:val="ru-RU" w:eastAsia="ru-RU"/>
              </w:rPr>
              <w:t>Регламенту финансовых расчетов на оптовом рынке электроэнергии</w:t>
            </w:r>
            <w:r w:rsidRPr="006E777C">
              <w:rPr>
                <w:rFonts w:cs="Garamond"/>
                <w:bCs/>
                <w:szCs w:val="22"/>
                <w:lang w:val="ru-RU" w:eastAsia="ru-RU"/>
              </w:rPr>
              <w:t xml:space="preserve"> </w:t>
            </w:r>
            <w:r w:rsidRPr="006E777C">
              <w:rPr>
                <w:szCs w:val="22"/>
                <w:lang w:val="ru-RU" w:eastAsia="ru-RU"/>
              </w:rPr>
              <w:t>(Приложение № 16 к</w:t>
            </w:r>
            <w:r w:rsidRPr="006E777C">
              <w:rPr>
                <w:i/>
                <w:szCs w:val="22"/>
                <w:lang w:val="ru-RU" w:eastAsia="ru-RU"/>
              </w:rPr>
              <w:t xml:space="preserve"> Договору о присоединении к торговой системе оптового рынка</w:t>
            </w:r>
            <w:r w:rsidRPr="006E777C">
              <w:rPr>
                <w:szCs w:val="22"/>
                <w:lang w:val="ru-RU" w:eastAsia="ru-RU"/>
              </w:rPr>
              <w:t>).</w:t>
            </w:r>
          </w:p>
          <w:p w14:paraId="6C217115" w14:textId="77777777" w:rsidR="00BC26EB" w:rsidRPr="00EA4A9D" w:rsidRDefault="00BC26EB" w:rsidP="006E777C">
            <w:pPr>
              <w:keepNext/>
              <w:spacing w:before="120" w:after="120"/>
              <w:ind w:left="426"/>
              <w:jc w:val="both"/>
              <w:outlineLvl w:val="0"/>
              <w:rPr>
                <w:rFonts w:cs="Garamond"/>
                <w:b/>
                <w:caps/>
                <w:color w:val="000000"/>
                <w:kern w:val="28"/>
                <w:lang w:val="ru-RU" w:eastAsia="ru-RU"/>
              </w:rPr>
            </w:pPr>
          </w:p>
        </w:tc>
      </w:tr>
      <w:tr w:rsidR="001D3C53" w:rsidRPr="003B29FF" w14:paraId="03000A62" w14:textId="77777777" w:rsidTr="005A03F6">
        <w:trPr>
          <w:trHeight w:val="435"/>
        </w:trPr>
        <w:tc>
          <w:tcPr>
            <w:tcW w:w="993" w:type="dxa"/>
            <w:vAlign w:val="center"/>
          </w:tcPr>
          <w:p w14:paraId="7118EC5F" w14:textId="31BCF2C5" w:rsidR="001D3C53" w:rsidRPr="001D3C53" w:rsidRDefault="000C29CE" w:rsidP="000C29CE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lastRenderedPageBreak/>
              <w:t>18</w:t>
            </w:r>
          </w:p>
        </w:tc>
        <w:tc>
          <w:tcPr>
            <w:tcW w:w="6946" w:type="dxa"/>
          </w:tcPr>
          <w:p w14:paraId="375ECB50" w14:textId="77777777" w:rsidR="000C29CE" w:rsidRDefault="000C29CE" w:rsidP="000C29CE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cs="Garamond"/>
                <w:b/>
                <w:bCs/>
                <w:szCs w:val="22"/>
                <w:lang w:val="ru-RU"/>
              </w:rPr>
            </w:pPr>
            <w:r>
              <w:rPr>
                <w:rFonts w:cs="Garamond"/>
                <w:b/>
                <w:bCs/>
                <w:szCs w:val="22"/>
                <w:lang w:val="ru-RU"/>
              </w:rPr>
              <w:t>18. ПОЛУЧЕНИЕ ИНФОРМАЦИИ УЧАСТНИКАМИ ОПТОВОГО РЫНКА</w:t>
            </w:r>
          </w:p>
          <w:p w14:paraId="097FBC0C" w14:textId="77777777" w:rsidR="001D3C53" w:rsidRDefault="000C29CE" w:rsidP="000C29CE">
            <w:pPr>
              <w:spacing w:before="120" w:after="120"/>
              <w:ind w:firstLine="601"/>
              <w:jc w:val="both"/>
              <w:rPr>
                <w:rFonts w:cs="Garamond"/>
                <w:bCs/>
                <w:szCs w:val="22"/>
                <w:lang w:val="ru-RU"/>
              </w:rPr>
            </w:pPr>
            <w:r w:rsidRPr="000C29CE">
              <w:rPr>
                <w:rFonts w:cs="Garamond"/>
                <w:bCs/>
                <w:szCs w:val="22"/>
                <w:lang w:val="ru-RU"/>
              </w:rPr>
              <w:t>…</w:t>
            </w:r>
          </w:p>
          <w:p w14:paraId="32BA6AB8" w14:textId="77777777" w:rsidR="000C29CE" w:rsidRPr="00430BBE" w:rsidRDefault="000C29CE" w:rsidP="000C29CE">
            <w:pPr>
              <w:spacing w:before="120" w:after="120"/>
              <w:ind w:firstLine="601"/>
              <w:jc w:val="both"/>
              <w:rPr>
                <w:b/>
                <w:lang w:val="ru-RU"/>
              </w:rPr>
            </w:pPr>
            <w:r w:rsidRPr="00430BBE">
              <w:rPr>
                <w:szCs w:val="22"/>
                <w:lang w:val="ru-RU"/>
              </w:rPr>
              <w:t>18.2. Получение информации другими участниками оптового рынка</w:t>
            </w:r>
          </w:p>
          <w:p w14:paraId="1CCEDD5A" w14:textId="44950C49" w:rsidR="000C29CE" w:rsidRPr="00430BBE" w:rsidRDefault="000C29CE" w:rsidP="000C29CE">
            <w:pPr>
              <w:spacing w:before="120" w:after="120"/>
              <w:ind w:firstLine="601"/>
              <w:jc w:val="both"/>
              <w:rPr>
                <w:szCs w:val="22"/>
                <w:lang w:val="ru-RU"/>
              </w:rPr>
            </w:pPr>
            <w:r w:rsidRPr="00430BBE">
              <w:rPr>
                <w:szCs w:val="22"/>
                <w:lang w:val="ru-RU"/>
              </w:rPr>
              <w:t>…</w:t>
            </w:r>
          </w:p>
          <w:p w14:paraId="1D005DC7" w14:textId="77777777" w:rsidR="000C29CE" w:rsidRPr="000C29CE" w:rsidRDefault="000C29CE" w:rsidP="000C29CE">
            <w:pPr>
              <w:spacing w:before="120" w:after="120"/>
              <w:ind w:firstLine="601"/>
              <w:jc w:val="both"/>
              <w:rPr>
                <w:szCs w:val="22"/>
                <w:lang w:val="ru-RU"/>
              </w:rPr>
            </w:pPr>
            <w:r w:rsidRPr="000C29CE">
              <w:rPr>
                <w:szCs w:val="22"/>
                <w:lang w:val="ru-RU"/>
              </w:rPr>
              <w:t>18.2.8. КО в срок не позднее 16 дней по окончании расчетного периода размещает на своем официальном сайте в сети Интернет в открытом доступе с применением электронной подписи значения коэффициентов, применяемых при определении стоимости электрической энергии в размере отклонений по форме 10 приложения 1 к настоящему Регламенту.</w:t>
            </w:r>
          </w:p>
          <w:p w14:paraId="321A59C9" w14:textId="77777777" w:rsidR="000C29CE" w:rsidRPr="000C29CE" w:rsidRDefault="000C29CE" w:rsidP="000C29CE">
            <w:pPr>
              <w:spacing w:before="120" w:after="120"/>
              <w:ind w:firstLine="601"/>
              <w:jc w:val="both"/>
              <w:rPr>
                <w:b/>
                <w:szCs w:val="22"/>
                <w:lang w:val="ru-RU"/>
              </w:rPr>
            </w:pPr>
            <w:r w:rsidRPr="000C29CE">
              <w:rPr>
                <w:szCs w:val="22"/>
                <w:lang w:val="ru-RU"/>
              </w:rPr>
              <w:t xml:space="preserve">Указанные в настоящем пункте коэффициенты определяются Коммерческим оператором в порядке, предусмотренном приложением 2 к </w:t>
            </w:r>
            <w:r w:rsidRPr="000C29CE">
              <w:rPr>
                <w:i/>
                <w:szCs w:val="22"/>
                <w:lang w:val="ru-RU"/>
              </w:rPr>
              <w:t>Регламенту определения объемов, инициатив и стоимости отклонений</w:t>
            </w:r>
            <w:r w:rsidRPr="000C29CE">
              <w:rPr>
                <w:szCs w:val="22"/>
                <w:lang w:val="ru-RU"/>
              </w:rPr>
              <w:t xml:space="preserve"> (Приложение №</w:t>
            </w:r>
            <w:r w:rsidRPr="00397884">
              <w:rPr>
                <w:szCs w:val="22"/>
              </w:rPr>
              <w:t> </w:t>
            </w:r>
            <w:r w:rsidRPr="000C29CE">
              <w:rPr>
                <w:szCs w:val="22"/>
                <w:lang w:val="ru-RU"/>
              </w:rPr>
              <w:t xml:space="preserve">12 к </w:t>
            </w:r>
            <w:r w:rsidRPr="000C29CE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0C29CE">
              <w:rPr>
                <w:szCs w:val="22"/>
                <w:lang w:val="ru-RU"/>
              </w:rPr>
              <w:t>).</w:t>
            </w:r>
          </w:p>
          <w:p w14:paraId="25051580" w14:textId="77777777" w:rsidR="000C29CE" w:rsidRPr="001C2D45" w:rsidRDefault="000C29CE" w:rsidP="000C29CE">
            <w:pPr>
              <w:pStyle w:val="3"/>
              <w:numPr>
                <w:ilvl w:val="0"/>
                <w:numId w:val="0"/>
              </w:numPr>
              <w:ind w:left="317"/>
              <w:rPr>
                <w:b w:val="0"/>
              </w:rPr>
            </w:pPr>
          </w:p>
          <w:p w14:paraId="6430E7B4" w14:textId="4AAA7CBA" w:rsidR="000C29CE" w:rsidRPr="000C29CE" w:rsidRDefault="000C29CE" w:rsidP="000C29CE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cs="Garamond"/>
                <w:bCs/>
                <w:szCs w:val="22"/>
                <w:lang w:val="ru-RU"/>
              </w:rPr>
            </w:pPr>
          </w:p>
        </w:tc>
        <w:tc>
          <w:tcPr>
            <w:tcW w:w="6804" w:type="dxa"/>
          </w:tcPr>
          <w:p w14:paraId="647A1B01" w14:textId="77777777" w:rsidR="000C29CE" w:rsidRDefault="000C29CE" w:rsidP="000C29CE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09"/>
              <w:jc w:val="both"/>
              <w:rPr>
                <w:rFonts w:cs="Garamond"/>
                <w:b/>
                <w:bCs/>
                <w:szCs w:val="22"/>
                <w:lang w:val="ru-RU"/>
              </w:rPr>
            </w:pPr>
            <w:r>
              <w:rPr>
                <w:rFonts w:cs="Garamond"/>
                <w:b/>
                <w:bCs/>
                <w:szCs w:val="22"/>
                <w:lang w:val="ru-RU"/>
              </w:rPr>
              <w:t>18. ПОЛУЧЕНИЕ ИНФОРМАЦИИ УЧАСТНИКАМИ ОПТОВОГО РЫНКА</w:t>
            </w:r>
          </w:p>
          <w:p w14:paraId="3B6ADB7E" w14:textId="77777777" w:rsidR="000C29CE" w:rsidRDefault="000C29CE" w:rsidP="000C29CE">
            <w:pPr>
              <w:spacing w:before="120" w:after="120"/>
              <w:ind w:firstLine="601"/>
              <w:jc w:val="both"/>
              <w:rPr>
                <w:rFonts w:cs="Garamond"/>
                <w:bCs/>
                <w:szCs w:val="22"/>
                <w:lang w:val="ru-RU"/>
              </w:rPr>
            </w:pPr>
            <w:r w:rsidRPr="000C29CE">
              <w:rPr>
                <w:rFonts w:cs="Garamond"/>
                <w:bCs/>
                <w:szCs w:val="22"/>
                <w:lang w:val="ru-RU"/>
              </w:rPr>
              <w:t>…</w:t>
            </w:r>
          </w:p>
          <w:p w14:paraId="0D733A5B" w14:textId="77777777" w:rsidR="000C29CE" w:rsidRPr="000C29CE" w:rsidRDefault="000C29CE" w:rsidP="000C29CE">
            <w:pPr>
              <w:spacing w:before="120" w:after="120"/>
              <w:ind w:firstLine="601"/>
              <w:jc w:val="both"/>
              <w:rPr>
                <w:b/>
                <w:lang w:val="ru-RU"/>
              </w:rPr>
            </w:pPr>
            <w:r w:rsidRPr="000C29CE">
              <w:rPr>
                <w:szCs w:val="22"/>
                <w:lang w:val="ru-RU"/>
              </w:rPr>
              <w:t>18.2. Получение информации другими участниками оптового рынка</w:t>
            </w:r>
          </w:p>
          <w:p w14:paraId="189276C6" w14:textId="77777777" w:rsidR="000C29CE" w:rsidRPr="000C29CE" w:rsidRDefault="000C29CE" w:rsidP="000C29CE">
            <w:pPr>
              <w:spacing w:before="120" w:after="120"/>
              <w:ind w:firstLine="601"/>
              <w:jc w:val="both"/>
              <w:rPr>
                <w:szCs w:val="22"/>
                <w:lang w:val="ru-RU"/>
              </w:rPr>
            </w:pPr>
            <w:r w:rsidRPr="000C29CE">
              <w:rPr>
                <w:szCs w:val="22"/>
                <w:lang w:val="ru-RU"/>
              </w:rPr>
              <w:t>…</w:t>
            </w:r>
          </w:p>
          <w:p w14:paraId="45E348DF" w14:textId="77777777" w:rsidR="000C29CE" w:rsidRPr="000C29CE" w:rsidRDefault="000C29CE" w:rsidP="000C29CE">
            <w:pPr>
              <w:spacing w:before="120" w:after="120"/>
              <w:ind w:firstLine="601"/>
              <w:jc w:val="both"/>
              <w:rPr>
                <w:szCs w:val="22"/>
                <w:lang w:val="ru-RU"/>
              </w:rPr>
            </w:pPr>
            <w:r w:rsidRPr="000C29CE">
              <w:rPr>
                <w:szCs w:val="22"/>
                <w:lang w:val="ru-RU"/>
              </w:rPr>
              <w:t>18.2.8. КО в срок не позднее 16 дней по окончании расчетного периода размещает на своем официальном сайте в сети Интернет в открытом доступе с применением электронной подписи значения коэффициентов, применяемых при определении стоимости электрической энергии в размере отклонений по форме 10 приложения 1 к настоящему Регламенту.</w:t>
            </w:r>
          </w:p>
          <w:p w14:paraId="3B6F5CAB" w14:textId="77777777" w:rsidR="000C29CE" w:rsidRPr="000C29CE" w:rsidRDefault="000C29CE" w:rsidP="000C29CE">
            <w:pPr>
              <w:spacing w:before="120" w:after="120"/>
              <w:ind w:firstLine="601"/>
              <w:jc w:val="both"/>
              <w:rPr>
                <w:b/>
                <w:szCs w:val="22"/>
                <w:lang w:val="ru-RU"/>
              </w:rPr>
            </w:pPr>
            <w:r w:rsidRPr="000C29CE">
              <w:rPr>
                <w:szCs w:val="22"/>
                <w:lang w:val="ru-RU"/>
              </w:rPr>
              <w:t xml:space="preserve">Указанные в настоящем пункте коэффициенты определяются Коммерческим оператором в порядке, предусмотренном приложением 2 к </w:t>
            </w:r>
            <w:r w:rsidRPr="000C29CE">
              <w:rPr>
                <w:i/>
                <w:szCs w:val="22"/>
                <w:lang w:val="ru-RU"/>
              </w:rPr>
              <w:t>Регламенту определения объемов, инициатив и стоимости отклонений</w:t>
            </w:r>
            <w:r w:rsidRPr="000C29CE">
              <w:rPr>
                <w:szCs w:val="22"/>
                <w:lang w:val="ru-RU"/>
              </w:rPr>
              <w:t xml:space="preserve"> (Приложение №</w:t>
            </w:r>
            <w:r w:rsidRPr="00397884">
              <w:rPr>
                <w:szCs w:val="22"/>
              </w:rPr>
              <w:t> </w:t>
            </w:r>
            <w:r w:rsidRPr="000C29CE">
              <w:rPr>
                <w:szCs w:val="22"/>
                <w:lang w:val="ru-RU"/>
              </w:rPr>
              <w:t xml:space="preserve">12 к </w:t>
            </w:r>
            <w:r w:rsidRPr="000C29CE">
              <w:rPr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0C29CE">
              <w:rPr>
                <w:szCs w:val="22"/>
                <w:lang w:val="ru-RU"/>
              </w:rPr>
              <w:t>).</w:t>
            </w:r>
          </w:p>
          <w:p w14:paraId="6F7A448A" w14:textId="4FF0981A" w:rsidR="000C29CE" w:rsidRDefault="000C29CE" w:rsidP="000C29CE">
            <w:pPr>
              <w:spacing w:before="120" w:after="120"/>
              <w:ind w:firstLine="600"/>
              <w:jc w:val="both"/>
              <w:rPr>
                <w:lang w:val="ru-RU"/>
              </w:rPr>
            </w:pPr>
            <w:r w:rsidRPr="000C29CE">
              <w:rPr>
                <w:rFonts w:cs="Garamond"/>
                <w:bCs/>
                <w:szCs w:val="22"/>
                <w:highlight w:val="yellow"/>
                <w:lang w:val="ru-RU"/>
              </w:rPr>
              <w:t xml:space="preserve">18.2.9. </w:t>
            </w:r>
            <w:r w:rsidRPr="000C29CE">
              <w:rPr>
                <w:highlight w:val="yellow"/>
                <w:lang w:val="ru-RU"/>
              </w:rPr>
              <w:t xml:space="preserve">Не позднее 20-го числа месяца, следующего за расчетным, КО формирует и размещает для участников оптового рынка – </w:t>
            </w:r>
            <w:r w:rsidRPr="000C29CE">
              <w:rPr>
                <w:szCs w:val="22"/>
                <w:highlight w:val="yellow"/>
                <w:lang w:val="ru-RU" w:eastAsia="ru-RU"/>
              </w:rPr>
              <w:t xml:space="preserve">производителей электрической энергии (мощности), в отношении которых Правительством Российской Федерации принято решение о применении надбавки к цене на мощность в целях частичной компенсации стоимости мощности, поставленной с помощью генерирующих объектов, включенных в перечень генерирующих объектов в неценовых зонах, </w:t>
            </w:r>
            <w:r w:rsidRPr="000C29CE">
              <w:rPr>
                <w:highlight w:val="yellow"/>
                <w:lang w:val="ru-RU"/>
              </w:rPr>
              <w:t xml:space="preserve">в электронном виде с применением ЭП на своем официальном сайте в разделе с ограниченным в соответствии с Правилами ЭДО СЭД КО доступом персонифицированные аналитические отчеты о размере средств, учитываемых в отношении </w:t>
            </w:r>
            <w:r w:rsidR="003C5157">
              <w:rPr>
                <w:highlight w:val="yellow"/>
                <w:lang w:val="ru-RU"/>
              </w:rPr>
              <w:t>указанных участников оптового рынка</w:t>
            </w:r>
            <w:r w:rsidRPr="000C29CE">
              <w:rPr>
                <w:highlight w:val="yellow"/>
                <w:lang w:val="ru-RU"/>
              </w:rPr>
              <w:t xml:space="preserve"> (приложение 13 к настоящему Регламенту</w:t>
            </w:r>
            <w:r>
              <w:rPr>
                <w:highlight w:val="yellow"/>
                <w:lang w:val="ru-RU"/>
              </w:rPr>
              <w:t xml:space="preserve">) </w:t>
            </w:r>
            <w:r w:rsidRPr="000C29CE">
              <w:rPr>
                <w:highlight w:val="yellow"/>
                <w:lang w:val="ru-RU"/>
              </w:rPr>
              <w:t>за расчетный месяц.</w:t>
            </w:r>
          </w:p>
          <w:p w14:paraId="4335D382" w14:textId="210FA003" w:rsidR="000C29CE" w:rsidRPr="000C29CE" w:rsidRDefault="000C29CE" w:rsidP="000C29CE">
            <w:pPr>
              <w:spacing w:before="120" w:after="120"/>
              <w:ind w:firstLine="601"/>
              <w:jc w:val="both"/>
              <w:rPr>
                <w:rFonts w:cs="Garamond"/>
                <w:bCs/>
                <w:szCs w:val="22"/>
                <w:lang w:val="ru-RU"/>
              </w:rPr>
            </w:pPr>
          </w:p>
        </w:tc>
      </w:tr>
    </w:tbl>
    <w:p w14:paraId="673B665C" w14:textId="4ECCC965" w:rsidR="00BC26EB" w:rsidRDefault="00BC26EB" w:rsidP="006D7E57">
      <w:pPr>
        <w:spacing w:after="0"/>
        <w:ind w:right="-314"/>
        <w:rPr>
          <w:b/>
          <w:sz w:val="26"/>
          <w:szCs w:val="26"/>
          <w:lang w:val="ru-RU"/>
        </w:rPr>
      </w:pPr>
    </w:p>
    <w:p w14:paraId="57F66865" w14:textId="77777777" w:rsidR="005A03F6" w:rsidRDefault="005A03F6" w:rsidP="00EA4A9D">
      <w:pPr>
        <w:tabs>
          <w:tab w:val="left" w:pos="1680"/>
        </w:tabs>
        <w:rPr>
          <w:rFonts w:cs="Arial CYR"/>
          <w:b/>
          <w:bCs/>
          <w:szCs w:val="18"/>
          <w:lang w:val="ru-RU"/>
        </w:rPr>
      </w:pPr>
    </w:p>
    <w:p w14:paraId="28166D68" w14:textId="779A4BB3" w:rsidR="00EA4A9D" w:rsidRPr="005A03F6" w:rsidRDefault="005A03F6" w:rsidP="00EA4A9D">
      <w:pPr>
        <w:tabs>
          <w:tab w:val="left" w:pos="1680"/>
        </w:tabs>
        <w:rPr>
          <w:rFonts w:cs="Arial CYR"/>
          <w:b/>
          <w:bCs/>
          <w:sz w:val="24"/>
          <w:szCs w:val="24"/>
          <w:lang w:val="ru-RU"/>
        </w:rPr>
      </w:pPr>
      <w:r w:rsidRPr="005A03F6">
        <w:rPr>
          <w:rFonts w:cs="Arial CYR"/>
          <w:b/>
          <w:bCs/>
          <w:sz w:val="24"/>
          <w:szCs w:val="24"/>
          <w:lang w:val="ru-RU"/>
        </w:rPr>
        <w:lastRenderedPageBreak/>
        <w:t>Добавить приложение</w:t>
      </w:r>
    </w:p>
    <w:p w14:paraId="5BF215CB" w14:textId="77777777" w:rsidR="00EA4A9D" w:rsidRDefault="00EA4A9D" w:rsidP="00EA4A9D">
      <w:pPr>
        <w:spacing w:before="0" w:after="160" w:line="259" w:lineRule="auto"/>
        <w:rPr>
          <w:rFonts w:ascii="Arial" w:hAnsi="Arial" w:cs="Arial"/>
          <w:bCs/>
          <w:color w:val="000000"/>
          <w:sz w:val="18"/>
          <w:szCs w:val="18"/>
          <w:lang w:val="ru-RU" w:eastAsia="ru-RU"/>
        </w:rPr>
      </w:pPr>
    </w:p>
    <w:p w14:paraId="713AE2C3" w14:textId="77777777" w:rsidR="00EA4A9D" w:rsidRPr="00EA4A9D" w:rsidRDefault="00EA4A9D" w:rsidP="00EA4A9D">
      <w:pPr>
        <w:spacing w:before="120" w:after="0"/>
        <w:jc w:val="right"/>
        <w:rPr>
          <w:rFonts w:cs="Arial CYR"/>
          <w:b/>
          <w:bCs/>
          <w:szCs w:val="18"/>
          <w:lang w:val="en-US"/>
        </w:rPr>
      </w:pPr>
      <w:r>
        <w:rPr>
          <w:rFonts w:cs="Arial CYR"/>
          <w:b/>
          <w:bCs/>
          <w:szCs w:val="18"/>
          <w:lang w:val="ru-RU"/>
        </w:rPr>
        <w:t xml:space="preserve">Приложение </w:t>
      </w:r>
      <w:r>
        <w:rPr>
          <w:rFonts w:cs="Arial CYR"/>
          <w:b/>
          <w:bCs/>
          <w:szCs w:val="18"/>
          <w:lang w:val="en-US"/>
        </w:rPr>
        <w:t>13</w:t>
      </w:r>
    </w:p>
    <w:tbl>
      <w:tblPr>
        <w:tblW w:w="12758" w:type="dxa"/>
        <w:tblInd w:w="1276" w:type="dxa"/>
        <w:tblLook w:val="04A0" w:firstRow="1" w:lastRow="0" w:firstColumn="1" w:lastColumn="0" w:noHBand="0" w:noVBand="1"/>
      </w:tblPr>
      <w:tblGrid>
        <w:gridCol w:w="3544"/>
        <w:gridCol w:w="9214"/>
      </w:tblGrid>
      <w:tr w:rsidR="00EA4A9D" w:rsidRPr="003B29FF" w14:paraId="39333E4D" w14:textId="77777777" w:rsidTr="000C29CE">
        <w:trPr>
          <w:trHeight w:val="1441"/>
        </w:trPr>
        <w:tc>
          <w:tcPr>
            <w:tcW w:w="12758" w:type="dxa"/>
            <w:gridSpan w:val="2"/>
            <w:vAlign w:val="center"/>
          </w:tcPr>
          <w:p w14:paraId="60A99243" w14:textId="77777777" w:rsidR="008E6D86" w:rsidRDefault="008E6D86" w:rsidP="008E6D86">
            <w:pPr>
              <w:spacing w:line="256" w:lineRule="auto"/>
              <w:jc w:val="right"/>
              <w:rPr>
                <w:rFonts w:cs="Arial CYR"/>
                <w:b/>
                <w:szCs w:val="22"/>
                <w:lang w:val="ru-RU"/>
              </w:rPr>
            </w:pPr>
            <w:r w:rsidRPr="00CC5752">
              <w:rPr>
                <w:rFonts w:cs="Arial CYR"/>
                <w:b/>
                <w:szCs w:val="22"/>
                <w:lang w:val="ru-RU"/>
              </w:rPr>
              <w:t>Отправитель: АО «АТС»</w:t>
            </w:r>
          </w:p>
          <w:p w14:paraId="6B00454E" w14:textId="77777777" w:rsidR="00CC5752" w:rsidRPr="00CC5752" w:rsidRDefault="00CC5752" w:rsidP="008E6D86">
            <w:pPr>
              <w:spacing w:line="256" w:lineRule="auto"/>
              <w:jc w:val="right"/>
              <w:rPr>
                <w:rFonts w:cs="Arial CYR"/>
                <w:b/>
                <w:szCs w:val="22"/>
                <w:lang w:val="ru-RU"/>
              </w:rPr>
            </w:pPr>
          </w:p>
          <w:p w14:paraId="7B1A40C2" w14:textId="77777777" w:rsidR="00EA4A9D" w:rsidRPr="000113C1" w:rsidRDefault="00EA4A9D" w:rsidP="000C29CE">
            <w:pPr>
              <w:spacing w:before="0" w:after="0"/>
              <w:jc w:val="center"/>
              <w:rPr>
                <w:rFonts w:cs="Arial CYR"/>
                <w:b/>
                <w:bCs/>
                <w:szCs w:val="18"/>
                <w:lang w:val="ru-RU"/>
              </w:rPr>
            </w:pPr>
            <w:r w:rsidRPr="006D7E57">
              <w:rPr>
                <w:rFonts w:cs="Arial CYR"/>
                <w:b/>
                <w:bCs/>
                <w:szCs w:val="18"/>
                <w:lang w:val="ru-RU"/>
              </w:rPr>
              <w:t xml:space="preserve">Аналитический отчет о </w:t>
            </w:r>
            <w:r>
              <w:rPr>
                <w:rFonts w:cs="Arial CYR"/>
                <w:b/>
                <w:bCs/>
                <w:szCs w:val="18"/>
                <w:lang w:val="ru-RU"/>
              </w:rPr>
              <w:t xml:space="preserve">размере </w:t>
            </w:r>
            <w:r w:rsidRPr="00606A10">
              <w:rPr>
                <w:rFonts w:cs="Arial CYR"/>
                <w:b/>
                <w:bCs/>
                <w:szCs w:val="18"/>
                <w:lang w:val="ru-RU"/>
              </w:rPr>
              <w:t>средств, учитываемых в отношен</w:t>
            </w:r>
            <w:r>
              <w:rPr>
                <w:rFonts w:cs="Arial CYR"/>
                <w:b/>
                <w:bCs/>
                <w:szCs w:val="18"/>
                <w:lang w:val="ru-RU"/>
              </w:rPr>
              <w:t>ии субъекта оптового рынка –</w:t>
            </w:r>
            <w:r w:rsidRPr="00606A10">
              <w:rPr>
                <w:rFonts w:cs="Arial CYR"/>
                <w:b/>
                <w:bCs/>
                <w:szCs w:val="18"/>
                <w:lang w:val="ru-RU"/>
              </w:rPr>
              <w:t xml:space="preserve"> производителя электрической энергии (мощности), в отношении которого Правительством Российской Федерации принято решение о применении надбавки</w:t>
            </w:r>
            <w:r>
              <w:rPr>
                <w:rFonts w:cs="Arial CYR"/>
                <w:b/>
                <w:bCs/>
                <w:szCs w:val="18"/>
                <w:lang w:val="ru-RU"/>
              </w:rPr>
              <w:t xml:space="preserve"> </w:t>
            </w:r>
            <w:r w:rsidRPr="00606A10">
              <w:rPr>
                <w:rFonts w:cs="Arial CYR"/>
                <w:b/>
                <w:bCs/>
                <w:szCs w:val="18"/>
                <w:lang w:val="ru-RU"/>
              </w:rPr>
              <w:t>в целях частичной компенсации стоимости мощности, поставленной с использованием генерирующих объектов</w:t>
            </w:r>
            <w:r>
              <w:rPr>
                <w:rFonts w:cs="Arial CYR"/>
                <w:b/>
                <w:bCs/>
                <w:szCs w:val="18"/>
                <w:lang w:val="ru-RU"/>
              </w:rPr>
              <w:t>, включенных в перечень генерирующих объектов в неценовых зонах</w:t>
            </w:r>
          </w:p>
        </w:tc>
      </w:tr>
      <w:tr w:rsidR="00EA4A9D" w:rsidRPr="008E6D86" w14:paraId="6EAC0C54" w14:textId="77777777" w:rsidTr="000C29CE">
        <w:trPr>
          <w:trHeight w:val="360"/>
        </w:trPr>
        <w:tc>
          <w:tcPr>
            <w:tcW w:w="12758" w:type="dxa"/>
            <w:gridSpan w:val="2"/>
            <w:noWrap/>
            <w:vAlign w:val="bottom"/>
          </w:tcPr>
          <w:p w14:paraId="0E2F4B1B" w14:textId="77777777" w:rsidR="00EA4A9D" w:rsidRPr="0046761E" w:rsidRDefault="00EA4A9D" w:rsidP="000C29CE">
            <w:pPr>
              <w:spacing w:line="256" w:lineRule="auto"/>
              <w:rPr>
                <w:rFonts w:cs="Arial CYR"/>
                <w:szCs w:val="22"/>
                <w:lang w:val="ru-RU"/>
              </w:rPr>
            </w:pPr>
            <w:r>
              <w:rPr>
                <w:rFonts w:cs="Arial CYR"/>
                <w:szCs w:val="22"/>
                <w:lang w:val="ru-RU"/>
              </w:rPr>
              <w:t>Получатель:</w:t>
            </w:r>
          </w:p>
          <w:p w14:paraId="4760FBE3" w14:textId="77777777" w:rsidR="00EA4A9D" w:rsidRPr="00A4367B" w:rsidRDefault="00EA4A9D" w:rsidP="000C29CE">
            <w:pPr>
              <w:spacing w:line="256" w:lineRule="auto"/>
              <w:rPr>
                <w:rFonts w:cs="Arial CYR"/>
                <w:szCs w:val="22"/>
                <w:lang w:val="ru-RU"/>
              </w:rPr>
            </w:pPr>
            <w:r w:rsidRPr="0046761E">
              <w:rPr>
                <w:rFonts w:cs="Arial CYR"/>
                <w:szCs w:val="22"/>
                <w:lang w:val="ru-RU"/>
              </w:rPr>
              <w:t>Расчетный период:</w:t>
            </w:r>
          </w:p>
        </w:tc>
      </w:tr>
      <w:tr w:rsidR="00EA4A9D" w:rsidRPr="008E6D86" w14:paraId="5E5B3B5B" w14:textId="77777777" w:rsidTr="000C29CE">
        <w:trPr>
          <w:trHeight w:val="288"/>
        </w:trPr>
        <w:tc>
          <w:tcPr>
            <w:tcW w:w="3544" w:type="dxa"/>
            <w:noWrap/>
            <w:vAlign w:val="bottom"/>
          </w:tcPr>
          <w:p w14:paraId="5961DCB0" w14:textId="77777777" w:rsidR="00EA4A9D" w:rsidRPr="0046761E" w:rsidRDefault="00EA4A9D" w:rsidP="000C29CE">
            <w:pPr>
              <w:spacing w:line="256" w:lineRule="auto"/>
              <w:rPr>
                <w:rFonts w:eastAsia="Calibri"/>
                <w:szCs w:val="22"/>
                <w:lang w:val="ru-RU"/>
              </w:rPr>
            </w:pPr>
          </w:p>
        </w:tc>
        <w:tc>
          <w:tcPr>
            <w:tcW w:w="9214" w:type="dxa"/>
            <w:noWrap/>
            <w:vAlign w:val="bottom"/>
          </w:tcPr>
          <w:p w14:paraId="1A5C349D" w14:textId="77777777" w:rsidR="00EA4A9D" w:rsidRPr="00F345C1" w:rsidRDefault="00EA4A9D" w:rsidP="000C29CE">
            <w:pPr>
              <w:spacing w:line="256" w:lineRule="auto"/>
              <w:rPr>
                <w:rFonts w:eastAsia="Calibri"/>
                <w:szCs w:val="22"/>
                <w:lang w:val="ru-RU"/>
              </w:rPr>
            </w:pPr>
          </w:p>
        </w:tc>
      </w:tr>
      <w:tr w:rsidR="00EA4A9D" w:rsidRPr="003B29FF" w14:paraId="1D88CA60" w14:textId="77777777" w:rsidTr="000C29CE">
        <w:trPr>
          <w:trHeight w:val="7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0778" w14:textId="77777777" w:rsidR="00EA4A9D" w:rsidRPr="00606A10" w:rsidRDefault="00EA4A9D" w:rsidP="000C29CE">
            <w:pPr>
              <w:spacing w:line="256" w:lineRule="auto"/>
              <w:jc w:val="center"/>
              <w:rPr>
                <w:rFonts w:cs="Arial CYR"/>
                <w:b/>
                <w:szCs w:val="22"/>
                <w:lang w:val="ru-RU"/>
              </w:rPr>
            </w:pPr>
            <w:r w:rsidRPr="00606A10">
              <w:rPr>
                <w:rFonts w:cs="Arial CYR"/>
                <w:b/>
                <w:szCs w:val="22"/>
                <w:lang w:val="ru-RU"/>
              </w:rPr>
              <w:t>ГТП генерации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878A2" w14:textId="6A6C03ED" w:rsidR="00EA4A9D" w:rsidRPr="00606A10" w:rsidRDefault="00EA4A9D" w:rsidP="000C29CE">
            <w:pPr>
              <w:spacing w:before="0" w:after="0"/>
              <w:jc w:val="center"/>
              <w:rPr>
                <w:lang w:val="ru-RU"/>
              </w:rPr>
            </w:pPr>
            <w:r>
              <w:rPr>
                <w:rFonts w:cs="Arial CYR"/>
                <w:b/>
                <w:bCs/>
                <w:szCs w:val="18"/>
                <w:lang w:val="ru-RU"/>
              </w:rPr>
              <w:t>Приходящаяся на ГТП генерации, включенную в перечень генерирующих объектов в неценовых зонах, часть</w:t>
            </w:r>
            <w:r w:rsidRPr="006D7E57">
              <w:rPr>
                <w:rFonts w:cs="Arial CYR"/>
                <w:b/>
                <w:bCs/>
                <w:szCs w:val="18"/>
                <w:lang w:val="ru-RU"/>
              </w:rPr>
              <w:t xml:space="preserve"> </w:t>
            </w:r>
            <w:r>
              <w:rPr>
                <w:rFonts w:cs="Arial CYR"/>
                <w:b/>
                <w:bCs/>
                <w:szCs w:val="18"/>
                <w:lang w:val="ru-RU"/>
              </w:rPr>
              <w:t xml:space="preserve">размера </w:t>
            </w:r>
            <w:r w:rsidRPr="00606A10">
              <w:rPr>
                <w:rFonts w:cs="Arial CYR"/>
                <w:b/>
                <w:bCs/>
                <w:szCs w:val="18"/>
                <w:lang w:val="ru-RU"/>
              </w:rPr>
              <w:t xml:space="preserve">средств, учитываемых в отношении субъекта </w:t>
            </w:r>
            <w:r w:rsidR="003B29FF">
              <w:rPr>
                <w:rFonts w:cs="Arial CYR"/>
                <w:b/>
                <w:bCs/>
                <w:szCs w:val="18"/>
                <w:lang w:val="ru-RU"/>
              </w:rPr>
              <w:t xml:space="preserve">оптового рынка </w:t>
            </w:r>
            <w:r w:rsidR="003B29FF">
              <w:rPr>
                <w:rFonts w:cs="Arial CYR"/>
                <w:b/>
                <w:bCs/>
                <w:szCs w:val="18"/>
                <w:lang w:val="ru-RU"/>
              </w:rPr>
              <w:t>–</w:t>
            </w:r>
            <w:r w:rsidRPr="00606A10">
              <w:rPr>
                <w:rFonts w:cs="Arial CYR"/>
                <w:b/>
                <w:bCs/>
                <w:szCs w:val="18"/>
                <w:lang w:val="ru-RU"/>
              </w:rPr>
              <w:t xml:space="preserve"> производителя электрической энергии (мощности), в отношении которого Правительством Российской Федерации принято решение о применении надбавки</w:t>
            </w:r>
            <w:r>
              <w:rPr>
                <w:rFonts w:cs="Arial CYR"/>
                <w:b/>
                <w:bCs/>
                <w:szCs w:val="18"/>
                <w:lang w:val="ru-RU"/>
              </w:rPr>
              <w:t xml:space="preserve"> в целях </w:t>
            </w:r>
            <w:r w:rsidRPr="00606A10">
              <w:rPr>
                <w:rFonts w:cs="Arial CYR"/>
                <w:b/>
                <w:bCs/>
                <w:szCs w:val="18"/>
                <w:lang w:val="ru-RU"/>
              </w:rPr>
              <w:t>в целях частичной компенсации стоимости мощности, поставленной с использованием генерирующих объектов</w:t>
            </w:r>
            <w:r>
              <w:rPr>
                <w:rFonts w:cs="Arial CYR"/>
                <w:b/>
                <w:bCs/>
                <w:szCs w:val="18"/>
                <w:lang w:val="ru-RU"/>
              </w:rPr>
              <w:t>, включенных в перечень генерирующих объектов в неценовых зонах, руб.</w:t>
            </w:r>
          </w:p>
        </w:tc>
      </w:tr>
      <w:tr w:rsidR="00EA4A9D" w:rsidRPr="003B29FF" w14:paraId="4A600EE9" w14:textId="77777777" w:rsidTr="000C29CE">
        <w:trPr>
          <w:trHeight w:val="26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89174" w14:textId="77777777" w:rsidR="00EA4A9D" w:rsidRPr="00BD1F30" w:rsidRDefault="00EA4A9D" w:rsidP="000C29CE">
            <w:pPr>
              <w:spacing w:line="256" w:lineRule="auto"/>
              <w:jc w:val="center"/>
              <w:rPr>
                <w:rFonts w:cs="Arial CYR"/>
                <w:b/>
                <w:szCs w:val="22"/>
                <w:lang w:val="ru-RU"/>
              </w:rPr>
            </w:pP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0DB0B" w14:textId="77777777" w:rsidR="00EA4A9D" w:rsidRPr="00183D35" w:rsidRDefault="00EA4A9D" w:rsidP="000C29CE">
            <w:pPr>
              <w:spacing w:line="256" w:lineRule="auto"/>
              <w:jc w:val="center"/>
              <w:rPr>
                <w:rFonts w:cs="Arial CYR"/>
                <w:szCs w:val="22"/>
                <w:lang w:val="ru-RU"/>
              </w:rPr>
            </w:pPr>
          </w:p>
        </w:tc>
      </w:tr>
      <w:tr w:rsidR="00EA4A9D" w:rsidRPr="003B29FF" w14:paraId="1B5305FC" w14:textId="77777777" w:rsidTr="000C29CE">
        <w:trPr>
          <w:trHeight w:val="4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28D948" w14:textId="77777777" w:rsidR="00EA4A9D" w:rsidRPr="00B761DA" w:rsidRDefault="00EA4A9D" w:rsidP="000C29CE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49AC9" w14:textId="77777777" w:rsidR="00EA4A9D" w:rsidRPr="00183D35" w:rsidRDefault="00EA4A9D" w:rsidP="000C29CE">
            <w:pPr>
              <w:spacing w:line="256" w:lineRule="auto"/>
              <w:jc w:val="center"/>
              <w:rPr>
                <w:rFonts w:cs="Arial CYR"/>
                <w:szCs w:val="22"/>
                <w:lang w:val="ru-RU"/>
              </w:rPr>
            </w:pPr>
          </w:p>
        </w:tc>
      </w:tr>
    </w:tbl>
    <w:p w14:paraId="5B195CC7" w14:textId="77777777" w:rsidR="00EA4A9D" w:rsidRPr="0046761E" w:rsidRDefault="00EA4A9D" w:rsidP="00EA4A9D">
      <w:pPr>
        <w:rPr>
          <w:lang w:val="ru-RU"/>
        </w:rPr>
      </w:pPr>
    </w:p>
    <w:p w14:paraId="5834BE1F" w14:textId="77777777" w:rsidR="006D7E57" w:rsidRPr="006D7E57" w:rsidRDefault="006D7E57" w:rsidP="00182766">
      <w:pPr>
        <w:spacing w:after="0"/>
        <w:ind w:left="142" w:right="-314"/>
        <w:rPr>
          <w:b/>
          <w:sz w:val="26"/>
          <w:szCs w:val="26"/>
          <w:lang w:val="ru-RU"/>
        </w:rPr>
      </w:pPr>
      <w:r w:rsidRPr="006D7E57">
        <w:rPr>
          <w:b/>
          <w:sz w:val="26"/>
          <w:szCs w:val="26"/>
          <w:lang w:val="ru-RU"/>
        </w:rPr>
        <w:t xml:space="preserve">Предложения по изменениям и дополнениям в </w:t>
      </w:r>
      <w:r w:rsidRPr="006D7E57">
        <w:rPr>
          <w:b/>
          <w:caps/>
          <w:sz w:val="26"/>
          <w:szCs w:val="26"/>
          <w:lang w:val="ru-RU"/>
        </w:rPr>
        <w:t>Регламент финансовых расчетов на оптовом рынке ЭЛЕКТРОЭНЕРГИИ (</w:t>
      </w:r>
      <w:r w:rsidRPr="006D7E57">
        <w:rPr>
          <w:b/>
          <w:sz w:val="26"/>
          <w:szCs w:val="26"/>
          <w:lang w:val="ru-RU"/>
        </w:rPr>
        <w:t>Приложение № 16 к Договору о присоединении к торговой системе оптового рынка)</w:t>
      </w:r>
    </w:p>
    <w:p w14:paraId="7A6E8C4A" w14:textId="77777777" w:rsidR="006D7E57" w:rsidRPr="006D7E57" w:rsidRDefault="006D7E57" w:rsidP="006D7E57">
      <w:pPr>
        <w:spacing w:after="0"/>
        <w:rPr>
          <w:rFonts w:cs="Garamond"/>
          <w:b/>
          <w:bCs/>
          <w:sz w:val="26"/>
          <w:szCs w:val="26"/>
          <w:lang w:val="ru-RU"/>
        </w:rPr>
      </w:pPr>
    </w:p>
    <w:tbl>
      <w:tblPr>
        <w:tblW w:w="1474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525"/>
        <w:gridCol w:w="7229"/>
      </w:tblGrid>
      <w:tr w:rsidR="006D7E57" w:rsidRPr="003B29FF" w14:paraId="74625456" w14:textId="77777777" w:rsidTr="001960AA">
        <w:trPr>
          <w:trHeight w:val="435"/>
        </w:trPr>
        <w:tc>
          <w:tcPr>
            <w:tcW w:w="988" w:type="dxa"/>
            <w:vAlign w:val="center"/>
          </w:tcPr>
          <w:p w14:paraId="7E08FBB3" w14:textId="77777777" w:rsidR="006D7E57" w:rsidRPr="00440A03" w:rsidRDefault="006D7E57" w:rsidP="00440A03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 xml:space="preserve">№ </w:t>
            </w:r>
          </w:p>
          <w:p w14:paraId="39ACF5F1" w14:textId="77777777" w:rsidR="006D7E57" w:rsidRPr="00FF0A27" w:rsidRDefault="006D7E57" w:rsidP="00440A03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пункта</w:t>
            </w:r>
          </w:p>
        </w:tc>
        <w:tc>
          <w:tcPr>
            <w:tcW w:w="6525" w:type="dxa"/>
            <w:vAlign w:val="center"/>
          </w:tcPr>
          <w:p w14:paraId="3B63F864" w14:textId="77777777" w:rsidR="006D7E57" w:rsidRPr="00440A03" w:rsidRDefault="006D7E57" w:rsidP="00440A03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 xml:space="preserve">Редакция, действующая на момент </w:t>
            </w:r>
          </w:p>
          <w:p w14:paraId="053CE601" w14:textId="77777777" w:rsidR="006D7E57" w:rsidRPr="006D7E57" w:rsidRDefault="006D7E57" w:rsidP="00440A03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0C506765" w14:textId="597B3002" w:rsidR="006D7E57" w:rsidRPr="00440A03" w:rsidRDefault="006D7E57" w:rsidP="00440A03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Предлагаем</w:t>
            </w:r>
            <w:r w:rsidR="00182766">
              <w:rPr>
                <w:rFonts w:eastAsiaTheme="minorHAnsi" w:cs="Calibri"/>
                <w:b/>
                <w:szCs w:val="22"/>
                <w:lang w:val="ru-RU"/>
              </w:rPr>
              <w:t>ая</w:t>
            </w:r>
            <w:r w:rsidRPr="00440A03">
              <w:rPr>
                <w:rFonts w:eastAsiaTheme="minorHAnsi" w:cs="Calibri"/>
                <w:b/>
                <w:szCs w:val="22"/>
                <w:lang w:val="ru-RU"/>
              </w:rPr>
              <w:t xml:space="preserve"> </w:t>
            </w:r>
            <w:r w:rsidR="00182766">
              <w:rPr>
                <w:rFonts w:eastAsiaTheme="minorHAnsi" w:cs="Calibri"/>
                <w:b/>
                <w:szCs w:val="22"/>
                <w:lang w:val="ru-RU"/>
              </w:rPr>
              <w:t>редакция</w:t>
            </w:r>
          </w:p>
          <w:p w14:paraId="039B358F" w14:textId="77777777" w:rsidR="006D7E57" w:rsidRPr="00440A03" w:rsidRDefault="006D7E57" w:rsidP="00440A03">
            <w:pPr>
              <w:widowControl w:val="0"/>
              <w:spacing w:before="0" w:after="0"/>
              <w:jc w:val="center"/>
              <w:rPr>
                <w:rFonts w:eastAsiaTheme="minorHAnsi" w:cs="Calibri"/>
                <w:lang w:val="ru-RU"/>
              </w:rPr>
            </w:pPr>
            <w:r w:rsidRPr="00440A03">
              <w:rPr>
                <w:rFonts w:eastAsiaTheme="minorHAnsi" w:cs="Calibri"/>
                <w:szCs w:val="22"/>
                <w:lang w:val="ru-RU"/>
              </w:rPr>
              <w:t>(изменения выделены цветом)</w:t>
            </w:r>
          </w:p>
        </w:tc>
      </w:tr>
      <w:tr w:rsidR="00440A03" w:rsidRPr="00440A03" w14:paraId="45DAC103" w14:textId="77777777" w:rsidTr="001960AA">
        <w:trPr>
          <w:trHeight w:val="435"/>
        </w:trPr>
        <w:tc>
          <w:tcPr>
            <w:tcW w:w="988" w:type="dxa"/>
            <w:vAlign w:val="center"/>
          </w:tcPr>
          <w:p w14:paraId="2A20DB04" w14:textId="37CA4C0D" w:rsidR="00440A03" w:rsidRPr="00440A03" w:rsidRDefault="00440A03" w:rsidP="009E7373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t>13.1.6</w:t>
            </w:r>
          </w:p>
        </w:tc>
        <w:tc>
          <w:tcPr>
            <w:tcW w:w="6525" w:type="dxa"/>
          </w:tcPr>
          <w:p w14:paraId="5637CDD3" w14:textId="76F9375A" w:rsidR="00440A03" w:rsidRPr="00440A03" w:rsidRDefault="00440A03" w:rsidP="00440A03">
            <w:pPr>
              <w:widowControl w:val="0"/>
              <w:spacing w:before="120" w:after="120"/>
              <w:jc w:val="both"/>
              <w:rPr>
                <w:rFonts w:eastAsia="Arial Unicode MS"/>
                <w:b/>
                <w:szCs w:val="22"/>
                <w:lang w:val="ru-RU" w:eastAsia="ru-RU"/>
              </w:rPr>
            </w:pPr>
            <w:bookmarkStart w:id="1" w:name="_Toc157626108"/>
            <w:r>
              <w:rPr>
                <w:rFonts w:eastAsia="Arial Unicode MS"/>
                <w:b/>
                <w:bCs/>
                <w:szCs w:val="22"/>
                <w:lang w:val="ru-RU" w:eastAsia="ru-RU"/>
              </w:rPr>
              <w:t xml:space="preserve">13.1.6. </w:t>
            </w:r>
            <w:r w:rsidRPr="00440A03">
              <w:rPr>
                <w:rFonts w:eastAsia="Arial Unicode MS"/>
                <w:b/>
                <w:bCs/>
                <w:szCs w:val="22"/>
                <w:lang w:val="ru-RU" w:eastAsia="ru-RU"/>
              </w:rPr>
              <w:t xml:space="preserve">Несоответствие обязательств и требований, </w:t>
            </w:r>
            <w:r w:rsidRPr="00440A03">
              <w:rPr>
                <w:rFonts w:eastAsia="Arial Unicode MS"/>
                <w:b/>
                <w:bCs/>
                <w:szCs w:val="22"/>
                <w:lang w:val="ru-RU" w:eastAsia="ru-RU"/>
              </w:rPr>
              <w:lastRenderedPageBreak/>
              <w:t xml:space="preserve">возникающее при продаже/покупке мощности по ценам КОМ </w:t>
            </w:r>
            <w:r w:rsidRPr="00440A03">
              <w:rPr>
                <w:rFonts w:eastAsia="Arial Unicode MS"/>
                <w:b/>
                <w:szCs w:val="22"/>
                <w:lang w:val="ru-RU" w:eastAsia="ru-RU"/>
              </w:rPr>
              <w:t>/ КОМ НГО</w:t>
            </w:r>
            <w:r w:rsidRPr="00440A03">
              <w:rPr>
                <w:rFonts w:eastAsia="Arial Unicode MS"/>
                <w:b/>
                <w:bCs/>
                <w:szCs w:val="22"/>
                <w:lang w:val="ru-RU" w:eastAsia="ru-RU"/>
              </w:rPr>
              <w:t xml:space="preserve">, и его учет при определении итоговой стоимости покупки мощности по итогам КОМ </w:t>
            </w:r>
            <w:r w:rsidRPr="00440A03">
              <w:rPr>
                <w:rFonts w:eastAsia="Arial Unicode MS"/>
                <w:b/>
                <w:szCs w:val="22"/>
                <w:lang w:val="ru-RU" w:eastAsia="ru-RU"/>
              </w:rPr>
              <w:t>/ КОМ НГО</w:t>
            </w:r>
            <w:bookmarkEnd w:id="1"/>
          </w:p>
          <w:p w14:paraId="6E005816" w14:textId="45E7381D" w:rsidR="00440A03" w:rsidRDefault="00440A03" w:rsidP="00440A03">
            <w:pPr>
              <w:widowControl w:val="0"/>
              <w:spacing w:before="120" w:after="120"/>
              <w:ind w:firstLine="603"/>
              <w:jc w:val="both"/>
              <w:rPr>
                <w:rFonts w:eastAsia="Arial Unicode MS"/>
                <w:szCs w:val="22"/>
                <w:lang w:val="ru-RU" w:eastAsia="ru-RU"/>
              </w:rPr>
            </w:pPr>
            <w:r>
              <w:rPr>
                <w:rFonts w:eastAsia="Arial Unicode MS"/>
                <w:szCs w:val="22"/>
                <w:lang w:val="ru-RU" w:eastAsia="ru-RU"/>
              </w:rPr>
              <w:t>…</w:t>
            </w:r>
          </w:p>
          <w:p w14:paraId="420F2E81" w14:textId="77777777" w:rsidR="00440A03" w:rsidRPr="00440A03" w:rsidRDefault="00440A03" w:rsidP="00440A03">
            <w:pPr>
              <w:widowControl w:val="0"/>
              <w:spacing w:before="120" w:after="120"/>
              <w:ind w:firstLine="567"/>
              <w:jc w:val="both"/>
              <w:rPr>
                <w:rFonts w:eastAsia="Arial Unicode MS"/>
                <w:szCs w:val="22"/>
                <w:lang w:val="ru-RU" w:eastAsia="ru-RU"/>
              </w:rPr>
            </w:pP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При расчете величин </w:t>
            </w:r>
            <w:r w:rsidRPr="00440A03">
              <w:rPr>
                <w:rFonts w:eastAsia="Arial Unicode MS"/>
                <w:position w:val="-14"/>
                <w:szCs w:val="22"/>
                <w:lang w:val="ru-RU" w:eastAsia="ru-RU"/>
              </w:rPr>
              <w:object w:dxaOrig="1380" w:dyaOrig="400" w14:anchorId="20F82B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24.5pt" o:ole="">
                  <v:imagedata r:id="rId7" o:title=""/>
                </v:shape>
                <o:OLEObject Type="Embed" ProgID="Equation.3" ShapeID="_x0000_i1025" DrawAspect="Content" ObjectID="_1773054019" r:id="rId8"/>
              </w:object>
            </w: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, </w:t>
            </w:r>
            <w:r w:rsidRPr="00440A03">
              <w:rPr>
                <w:rFonts w:eastAsia="Arial Unicode MS"/>
                <w:position w:val="-14"/>
                <w:szCs w:val="22"/>
                <w:lang w:val="ru-RU" w:eastAsia="ru-RU"/>
              </w:rPr>
              <w:object w:dxaOrig="1620" w:dyaOrig="400" w14:anchorId="6B9A52D1">
                <v:shape id="_x0000_i1026" type="#_x0000_t75" style="width:79pt;height:24.5pt" o:ole="">
                  <v:imagedata r:id="rId9" o:title=""/>
                </v:shape>
                <o:OLEObject Type="Embed" ProgID="Equation.3" ShapeID="_x0000_i1026" DrawAspect="Content" ObjectID="_1773054020" r:id="rId10"/>
              </w:object>
            </w: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, </w:t>
            </w:r>
            <w:r w:rsidRPr="00440A03">
              <w:rPr>
                <w:rFonts w:eastAsia="Arial Unicode MS"/>
                <w:position w:val="-14"/>
                <w:szCs w:val="22"/>
                <w:lang w:val="ru-RU" w:eastAsia="ru-RU"/>
              </w:rPr>
              <w:object w:dxaOrig="1359" w:dyaOrig="400" w14:anchorId="1A681BFB">
                <v:shape id="_x0000_i1027" type="#_x0000_t75" style="width:65pt;height:24.5pt" o:ole="">
                  <v:imagedata r:id="rId11" o:title=""/>
                </v:shape>
                <o:OLEObject Type="Embed" ProgID="Equation.3" ShapeID="_x0000_i1027" DrawAspect="Content" ObjectID="_1773054021" r:id="rId12"/>
              </w:object>
            </w: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, </w:t>
            </w:r>
            <w:r w:rsidRPr="00440A03">
              <w:rPr>
                <w:rFonts w:eastAsia="Arial Unicode MS"/>
                <w:position w:val="-14"/>
                <w:szCs w:val="22"/>
                <w:lang w:val="ru-RU" w:eastAsia="ru-RU"/>
              </w:rPr>
              <w:object w:dxaOrig="1420" w:dyaOrig="400" w14:anchorId="27062FFF">
                <v:shape id="_x0000_i1028" type="#_x0000_t75" style="width:1in;height:24.5pt" o:ole="">
                  <v:imagedata r:id="rId13" o:title=""/>
                </v:shape>
                <o:OLEObject Type="Embed" ProgID="Equation.3" ShapeID="_x0000_i1028" DrawAspect="Content" ObjectID="_1773054022" r:id="rId14"/>
              </w:object>
            </w: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, </w:t>
            </w:r>
            <w:r w:rsidRPr="00440A03">
              <w:rPr>
                <w:rFonts w:eastAsia="Arial Unicode MS"/>
                <w:position w:val="-14"/>
                <w:szCs w:val="22"/>
                <w:lang w:val="ru-RU" w:eastAsia="ru-RU"/>
              </w:rPr>
              <w:object w:dxaOrig="1440" w:dyaOrig="400" w14:anchorId="336C0BE0">
                <v:shape id="_x0000_i1029" type="#_x0000_t75" style="width:1in;height:24.5pt" o:ole="">
                  <v:imagedata r:id="rId15" o:title=""/>
                </v:shape>
                <o:OLEObject Type="Embed" ProgID="Equation.3" ShapeID="_x0000_i1029" DrawAspect="Content" ObjectID="_1773054023" r:id="rId16"/>
              </w:object>
            </w: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, </w:t>
            </w:r>
            <w:r w:rsidRPr="00440A03">
              <w:rPr>
                <w:rFonts w:eastAsia="Arial Unicode MS"/>
                <w:position w:val="-14"/>
                <w:szCs w:val="22"/>
                <w:lang w:val="ru-RU" w:eastAsia="ru-RU"/>
              </w:rPr>
              <w:object w:dxaOrig="1600" w:dyaOrig="400" w14:anchorId="531059BB">
                <v:shape id="_x0000_i1030" type="#_x0000_t75" style="width:84pt;height:18.5pt" o:ole="">
                  <v:imagedata r:id="rId17" o:title=""/>
                </v:shape>
                <o:OLEObject Type="Embed" ProgID="Equation.3" ShapeID="_x0000_i1030" DrawAspect="Content" ObjectID="_1773054024" r:id="rId18"/>
              </w:object>
            </w: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факт_надб_МодНЦЗ</m:t>
                  </m:r>
                </m:sup>
              </m:sSubSup>
            </m:oMath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 округление производится методом математического округления с точностью до 2 знаков после запятой.</w:t>
            </w:r>
          </w:p>
          <w:p w14:paraId="57D03110" w14:textId="77777777" w:rsidR="00C50150" w:rsidRPr="003C0090" w:rsidRDefault="00C50150" w:rsidP="00C50150">
            <w:pPr>
              <w:pStyle w:val="ac"/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300C78">
              <w:rPr>
                <w:rFonts w:ascii="Garamond" w:hAnsi="Garamond"/>
                <w:sz w:val="22"/>
                <w:szCs w:val="22"/>
              </w:rPr>
              <w:t>Пропорциональное распределение величин, определяемых в настоящем пункте, осуществляется в соответствии с алгоритмом, указанным в приложении</w:t>
            </w:r>
            <w:r w:rsidRPr="003C0090">
              <w:rPr>
                <w:rFonts w:ascii="Garamond" w:hAnsi="Garamond"/>
                <w:sz w:val="22"/>
                <w:szCs w:val="22"/>
              </w:rPr>
              <w:t xml:space="preserve"> 90 к настоящему Регламенту.</w:t>
            </w:r>
          </w:p>
          <w:p w14:paraId="4C3024CB" w14:textId="77777777" w:rsidR="00440A03" w:rsidRDefault="00440A03" w:rsidP="00440A03">
            <w:pPr>
              <w:keepNext/>
              <w:spacing w:before="120" w:after="120"/>
              <w:ind w:left="426"/>
              <w:jc w:val="both"/>
              <w:outlineLvl w:val="0"/>
              <w:rPr>
                <w:rFonts w:cs="Garamond"/>
                <w:caps/>
                <w:color w:val="000000"/>
                <w:kern w:val="28"/>
                <w:lang w:val="ru-RU" w:eastAsia="ru-RU"/>
              </w:rPr>
            </w:pPr>
            <w:r>
              <w:rPr>
                <w:rFonts w:cs="Garamond"/>
                <w:caps/>
                <w:color w:val="000000"/>
                <w:kern w:val="28"/>
                <w:lang w:val="ru-RU" w:eastAsia="ru-RU"/>
              </w:rPr>
              <w:t>…</w:t>
            </w:r>
          </w:p>
          <w:p w14:paraId="497EE299" w14:textId="6E3040BA" w:rsidR="00440A03" w:rsidRDefault="00440A03" w:rsidP="00440A03">
            <w:pPr>
              <w:widowControl w:val="0"/>
              <w:spacing w:before="120" w:after="120"/>
              <w:ind w:left="1944"/>
              <w:jc w:val="both"/>
              <w:outlineLvl w:val="2"/>
              <w:rPr>
                <w:b/>
                <w:bCs/>
                <w:szCs w:val="22"/>
                <w:lang w:val="ru-RU" w:eastAsia="ru-RU"/>
              </w:rPr>
            </w:pPr>
          </w:p>
        </w:tc>
        <w:tc>
          <w:tcPr>
            <w:tcW w:w="7229" w:type="dxa"/>
          </w:tcPr>
          <w:p w14:paraId="684D3764" w14:textId="77777777" w:rsidR="00440A03" w:rsidRPr="00440A03" w:rsidRDefault="00440A03" w:rsidP="00440A03">
            <w:pPr>
              <w:widowControl w:val="0"/>
              <w:spacing w:before="120" w:after="120"/>
              <w:jc w:val="both"/>
              <w:rPr>
                <w:rFonts w:eastAsia="Arial Unicode MS"/>
                <w:b/>
                <w:szCs w:val="22"/>
                <w:lang w:val="ru-RU" w:eastAsia="ru-RU"/>
              </w:rPr>
            </w:pPr>
            <w:r>
              <w:rPr>
                <w:rFonts w:eastAsia="Arial Unicode MS"/>
                <w:b/>
                <w:bCs/>
                <w:szCs w:val="22"/>
                <w:lang w:val="ru-RU" w:eastAsia="ru-RU"/>
              </w:rPr>
              <w:lastRenderedPageBreak/>
              <w:t xml:space="preserve">13.1.6. </w:t>
            </w:r>
            <w:r w:rsidRPr="00440A03">
              <w:rPr>
                <w:rFonts w:eastAsia="Arial Unicode MS"/>
                <w:b/>
                <w:bCs/>
                <w:szCs w:val="22"/>
                <w:lang w:val="ru-RU" w:eastAsia="ru-RU"/>
              </w:rPr>
              <w:t xml:space="preserve">Несоответствие обязательств и требований, возникающее при </w:t>
            </w:r>
            <w:r w:rsidRPr="00440A03">
              <w:rPr>
                <w:rFonts w:eastAsia="Arial Unicode MS"/>
                <w:b/>
                <w:bCs/>
                <w:szCs w:val="22"/>
                <w:lang w:val="ru-RU" w:eastAsia="ru-RU"/>
              </w:rPr>
              <w:lastRenderedPageBreak/>
              <w:t xml:space="preserve">продаже/покупке мощности по ценам КОМ </w:t>
            </w:r>
            <w:r w:rsidRPr="00440A03">
              <w:rPr>
                <w:rFonts w:eastAsia="Arial Unicode MS"/>
                <w:b/>
                <w:szCs w:val="22"/>
                <w:lang w:val="ru-RU" w:eastAsia="ru-RU"/>
              </w:rPr>
              <w:t>/ КОМ НГО</w:t>
            </w:r>
            <w:r w:rsidRPr="00440A03">
              <w:rPr>
                <w:rFonts w:eastAsia="Arial Unicode MS"/>
                <w:b/>
                <w:bCs/>
                <w:szCs w:val="22"/>
                <w:lang w:val="ru-RU" w:eastAsia="ru-RU"/>
              </w:rPr>
              <w:t xml:space="preserve">, и его учет при определении итоговой стоимости покупки мощности по итогам КОМ </w:t>
            </w:r>
            <w:r w:rsidRPr="00440A03">
              <w:rPr>
                <w:rFonts w:eastAsia="Arial Unicode MS"/>
                <w:b/>
                <w:szCs w:val="22"/>
                <w:lang w:val="ru-RU" w:eastAsia="ru-RU"/>
              </w:rPr>
              <w:t>/ КОМ НГО</w:t>
            </w:r>
          </w:p>
          <w:p w14:paraId="7552E206" w14:textId="77777777" w:rsidR="00440A03" w:rsidRDefault="00440A03" w:rsidP="00440A03">
            <w:pPr>
              <w:widowControl w:val="0"/>
              <w:spacing w:before="120" w:after="120"/>
              <w:ind w:firstLine="603"/>
              <w:jc w:val="both"/>
              <w:rPr>
                <w:rFonts w:eastAsia="Arial Unicode MS"/>
                <w:szCs w:val="22"/>
                <w:lang w:val="ru-RU" w:eastAsia="ru-RU"/>
              </w:rPr>
            </w:pPr>
            <w:r>
              <w:rPr>
                <w:rFonts w:eastAsia="Arial Unicode MS"/>
                <w:szCs w:val="22"/>
                <w:lang w:val="ru-RU" w:eastAsia="ru-RU"/>
              </w:rPr>
              <w:t>…</w:t>
            </w:r>
          </w:p>
          <w:p w14:paraId="080A4BF8" w14:textId="73106A4B" w:rsidR="00440A03" w:rsidRPr="00440A03" w:rsidRDefault="00440A03" w:rsidP="00440A03">
            <w:pPr>
              <w:widowControl w:val="0"/>
              <w:spacing w:before="120" w:after="120"/>
              <w:ind w:firstLine="567"/>
              <w:jc w:val="both"/>
              <w:rPr>
                <w:rFonts w:eastAsia="Arial Unicode MS"/>
                <w:szCs w:val="22"/>
                <w:lang w:val="ru-RU" w:eastAsia="ru-RU"/>
              </w:rPr>
            </w:pP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При расчете величин </w:t>
            </w:r>
            <w:r w:rsidRPr="00440A03">
              <w:rPr>
                <w:rFonts w:eastAsia="Arial Unicode MS"/>
                <w:position w:val="-14"/>
                <w:szCs w:val="22"/>
                <w:lang w:val="ru-RU" w:eastAsia="ru-RU"/>
              </w:rPr>
              <w:object w:dxaOrig="1380" w:dyaOrig="400" w14:anchorId="38A7FB5E">
                <v:shape id="_x0000_i1031" type="#_x0000_t75" style="width:1in;height:24.5pt" o:ole="">
                  <v:imagedata r:id="rId7" o:title=""/>
                </v:shape>
                <o:OLEObject Type="Embed" ProgID="Equation.3" ShapeID="_x0000_i1031" DrawAspect="Content" ObjectID="_1773054025" r:id="rId19"/>
              </w:object>
            </w: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, </w:t>
            </w:r>
            <w:r w:rsidRPr="00440A03">
              <w:rPr>
                <w:rFonts w:eastAsia="Arial Unicode MS"/>
                <w:position w:val="-14"/>
                <w:szCs w:val="22"/>
                <w:lang w:val="ru-RU" w:eastAsia="ru-RU"/>
              </w:rPr>
              <w:object w:dxaOrig="1620" w:dyaOrig="400" w14:anchorId="1F63224A">
                <v:shape id="_x0000_i1032" type="#_x0000_t75" style="width:79pt;height:24.5pt" o:ole="">
                  <v:imagedata r:id="rId9" o:title=""/>
                </v:shape>
                <o:OLEObject Type="Embed" ProgID="Equation.3" ShapeID="_x0000_i1032" DrawAspect="Content" ObjectID="_1773054026" r:id="rId20"/>
              </w:object>
            </w: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, </w:t>
            </w:r>
            <w:r w:rsidRPr="00440A03">
              <w:rPr>
                <w:rFonts w:eastAsia="Arial Unicode MS"/>
                <w:position w:val="-14"/>
                <w:szCs w:val="22"/>
                <w:lang w:val="ru-RU" w:eastAsia="ru-RU"/>
              </w:rPr>
              <w:object w:dxaOrig="1359" w:dyaOrig="400" w14:anchorId="392732E5">
                <v:shape id="_x0000_i1033" type="#_x0000_t75" style="width:65pt;height:24.5pt" o:ole="">
                  <v:imagedata r:id="rId11" o:title=""/>
                </v:shape>
                <o:OLEObject Type="Embed" ProgID="Equation.3" ShapeID="_x0000_i1033" DrawAspect="Content" ObjectID="_1773054027" r:id="rId21"/>
              </w:object>
            </w: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, </w:t>
            </w:r>
            <w:r w:rsidRPr="00440A03">
              <w:rPr>
                <w:rFonts w:eastAsia="Arial Unicode MS"/>
                <w:position w:val="-14"/>
                <w:szCs w:val="22"/>
                <w:lang w:val="ru-RU" w:eastAsia="ru-RU"/>
              </w:rPr>
              <w:object w:dxaOrig="1420" w:dyaOrig="400" w14:anchorId="2FD85601">
                <v:shape id="_x0000_i1034" type="#_x0000_t75" style="width:1in;height:24.5pt" o:ole="">
                  <v:imagedata r:id="rId13" o:title=""/>
                </v:shape>
                <o:OLEObject Type="Embed" ProgID="Equation.3" ShapeID="_x0000_i1034" DrawAspect="Content" ObjectID="_1773054028" r:id="rId22"/>
              </w:object>
            </w: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, </w:t>
            </w:r>
            <w:r w:rsidRPr="00440A03">
              <w:rPr>
                <w:rFonts w:eastAsia="Arial Unicode MS"/>
                <w:position w:val="-14"/>
                <w:szCs w:val="22"/>
                <w:lang w:val="ru-RU" w:eastAsia="ru-RU"/>
              </w:rPr>
              <w:object w:dxaOrig="1440" w:dyaOrig="400" w14:anchorId="196843E6">
                <v:shape id="_x0000_i1035" type="#_x0000_t75" style="width:1in;height:24.5pt" o:ole="">
                  <v:imagedata r:id="rId15" o:title=""/>
                </v:shape>
                <o:OLEObject Type="Embed" ProgID="Equation.3" ShapeID="_x0000_i1035" DrawAspect="Content" ObjectID="_1773054029" r:id="rId23"/>
              </w:object>
            </w: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, </w:t>
            </w:r>
            <w:r w:rsidRPr="00440A03">
              <w:rPr>
                <w:rFonts w:eastAsia="Arial Unicode MS"/>
                <w:position w:val="-14"/>
                <w:szCs w:val="22"/>
                <w:lang w:val="ru-RU" w:eastAsia="ru-RU"/>
              </w:rPr>
              <w:object w:dxaOrig="1600" w:dyaOrig="400" w14:anchorId="500198BC">
                <v:shape id="_x0000_i1036" type="#_x0000_t75" style="width:84pt;height:18.5pt" o:ole="">
                  <v:imagedata r:id="rId17" o:title=""/>
                </v:shape>
                <o:OLEObject Type="Embed" ProgID="Equation.3" ShapeID="_x0000_i1036" DrawAspect="Content" ObjectID="_1773054030" r:id="rId24"/>
              </w:object>
            </w: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факт_надб_МодНЦЗ</m:t>
                  </m:r>
                </m:sup>
              </m:sSubSup>
            </m:oMath>
            <w:r>
              <w:rPr>
                <w:rFonts w:eastAsia="Arial Unicode MS"/>
                <w:sz w:val="24"/>
                <w:szCs w:val="22"/>
                <w:lang w:val="ru-RU" w:eastAsia="ru-RU"/>
              </w:rPr>
              <w:t xml:space="preserve"> </w:t>
            </w:r>
            <w:r w:rsidRPr="00440A03">
              <w:rPr>
                <w:rFonts w:eastAsia="Arial Unicode MS"/>
                <w:szCs w:val="22"/>
                <w:lang w:val="ru-RU" w:eastAsia="ru-RU"/>
              </w:rPr>
              <w:t xml:space="preserve"> округление производится методом математического округления с точностью до 2 знаков после запятой.</w:t>
            </w:r>
          </w:p>
          <w:p w14:paraId="778BD55C" w14:textId="4A2FE132" w:rsidR="00C50150" w:rsidRDefault="00894F0D" w:rsidP="00894F0D">
            <w:pPr>
              <w:pStyle w:val="ac"/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894F0D">
              <w:rPr>
                <w:rFonts w:ascii="Garamond" w:hAnsi="Garamond"/>
                <w:sz w:val="22"/>
                <w:szCs w:val="22"/>
                <w:highlight w:val="yellow"/>
                <w:lang w:eastAsia="ar-SA"/>
              </w:rPr>
              <w:t xml:space="preserve">25) </w:t>
            </w:r>
            <w:r w:rsidRPr="00894F0D">
              <w:rPr>
                <w:rFonts w:ascii="Garamond" w:hAnsi="Garamond"/>
                <w:sz w:val="22"/>
                <w:szCs w:val="22"/>
                <w:highlight w:val="yellow"/>
              </w:rPr>
              <w:t>Для целей формирования аналитических отчетов</w:t>
            </w:r>
            <w:r w:rsidR="00C50150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C50150" w:rsidRPr="00894F0D">
              <w:rPr>
                <w:rFonts w:ascii="Garamond" w:hAnsi="Garamond"/>
                <w:sz w:val="22"/>
                <w:szCs w:val="22"/>
                <w:highlight w:val="yellow"/>
              </w:rPr>
              <w:t xml:space="preserve">в соответствии с приложением 154.5 к настоящему </w:t>
            </w:r>
            <w:r w:rsidR="00C50150" w:rsidRPr="00894F0D">
              <w:rPr>
                <w:rFonts w:ascii="Garamond" w:hAnsi="Garamond"/>
                <w:caps/>
                <w:sz w:val="22"/>
                <w:szCs w:val="22"/>
                <w:highlight w:val="yellow"/>
              </w:rPr>
              <w:t>р</w:t>
            </w:r>
            <w:r w:rsidR="00C50150" w:rsidRPr="00894F0D">
              <w:rPr>
                <w:rFonts w:ascii="Garamond" w:hAnsi="Garamond"/>
                <w:sz w:val="22"/>
                <w:szCs w:val="22"/>
                <w:highlight w:val="yellow"/>
              </w:rPr>
              <w:t>егламенту</w:t>
            </w:r>
            <w:r w:rsidRPr="00894F0D">
              <w:rPr>
                <w:rFonts w:ascii="Garamond" w:hAnsi="Garamond"/>
                <w:sz w:val="22"/>
                <w:szCs w:val="22"/>
                <w:highlight w:val="yellow"/>
              </w:rPr>
              <w:t>, направляемых участник</w:t>
            </w:r>
            <w:r w:rsidR="00182766">
              <w:rPr>
                <w:rFonts w:ascii="Garamond" w:hAnsi="Garamond"/>
                <w:sz w:val="22"/>
                <w:szCs w:val="22"/>
                <w:highlight w:val="yellow"/>
              </w:rPr>
              <w:t>у</w:t>
            </w:r>
            <w:r w:rsidRPr="00894F0D">
              <w:rPr>
                <w:rFonts w:ascii="Garamond" w:hAnsi="Garamond"/>
                <w:sz w:val="22"/>
                <w:szCs w:val="22"/>
                <w:highlight w:val="yellow"/>
              </w:rPr>
              <w:t xml:space="preserve"> оптового рынка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, которы</w:t>
            </w:r>
            <w:r w:rsidR="00182766">
              <w:rPr>
                <w:rFonts w:ascii="Garamond" w:hAnsi="Garamond"/>
                <w:sz w:val="22"/>
                <w:szCs w:val="22"/>
                <w:highlight w:val="yellow"/>
              </w:rPr>
              <w:t>й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определен Правительством Российской Федерации получател</w:t>
            </w:r>
            <w:r w:rsidR="00182766">
              <w:rPr>
                <w:rFonts w:ascii="Garamond" w:hAnsi="Garamond"/>
                <w:sz w:val="22"/>
                <w:szCs w:val="22"/>
                <w:highlight w:val="yellow"/>
              </w:rPr>
              <w:t>ем</w:t>
            </w:r>
            <w:r w:rsidR="00E221E9" w:rsidRPr="00E221E9">
              <w:rPr>
                <w:rFonts w:ascii="Garamond" w:hAnsi="Garamond"/>
                <w:sz w:val="22"/>
                <w:szCs w:val="22"/>
                <w:highlight w:val="yellow"/>
              </w:rPr>
              <w:t xml:space="preserve"> хо</w:t>
            </w:r>
            <w:r w:rsidR="00E221E9">
              <w:rPr>
                <w:rFonts w:ascii="Garamond" w:hAnsi="Garamond"/>
                <w:sz w:val="22"/>
                <w:szCs w:val="22"/>
                <w:highlight w:val="yellow"/>
              </w:rPr>
              <w:t>тя бы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353C64">
              <w:rPr>
                <w:rFonts w:ascii="Garamond" w:hAnsi="Garamond"/>
                <w:sz w:val="22"/>
                <w:szCs w:val="22"/>
                <w:highlight w:val="yellow"/>
              </w:rPr>
              <w:t xml:space="preserve">одной </w:t>
            </w:r>
            <w:r w:rsidR="00C50150">
              <w:rPr>
                <w:rFonts w:ascii="Garamond" w:hAnsi="Garamond"/>
                <w:sz w:val="22"/>
                <w:szCs w:val="22"/>
                <w:highlight w:val="yellow"/>
              </w:rPr>
              <w:t xml:space="preserve">из следующих надбавок </w:t>
            </w:r>
            <w:r w:rsidRPr="00894F0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к цене на мощность</w:t>
            </w:r>
            <w:r w:rsidR="00C5015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:</w:t>
            </w:r>
          </w:p>
          <w:p w14:paraId="75712D2C" w14:textId="2F50BB3B" w:rsidR="00C50150" w:rsidRDefault="00182766" w:rsidP="00C50150">
            <w:pPr>
              <w:pStyle w:val="ac"/>
              <w:widowControl w:val="0"/>
              <w:spacing w:before="120" w:after="120"/>
              <w:ind w:left="31"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–</w:t>
            </w:r>
            <w:r w:rsidR="00C5015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 </w:t>
            </w:r>
            <w:r w:rsidR="00C50150">
              <w:rPr>
                <w:rFonts w:ascii="Garamond" w:hAnsi="Garamond"/>
                <w:sz w:val="22"/>
                <w:szCs w:val="22"/>
                <w:highlight w:val="yellow"/>
              </w:rPr>
              <w:t xml:space="preserve">надбавки </w:t>
            </w:r>
            <w:r w:rsidR="00C50150" w:rsidRPr="00894F0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к цене на мощность</w:t>
            </w:r>
            <w:r w:rsidR="00C5015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="00C50150" w:rsidRPr="00894F0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894F0D" w:rsidRPr="00894F0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устанавливаемой в целях достижения на территориях Дальневосточного федерального округа базовых уровней цен (тарифов) на электрическую энергию (мощность) для субъектов Российской Федерации, входящих в состав Дальневосточного федерального округа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2E98DCB6" w14:textId="6E0CC1FB" w:rsidR="00C50150" w:rsidRDefault="00182766" w:rsidP="00C50150">
            <w:pPr>
              <w:pStyle w:val="ac"/>
              <w:widowControl w:val="0"/>
              <w:spacing w:before="120" w:after="120"/>
              <w:ind w:left="31" w:firstLine="567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–</w:t>
            </w:r>
            <w:r w:rsidR="00C5015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 </w:t>
            </w:r>
            <w:r w:rsidR="00894F0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надбавки</w:t>
            </w:r>
            <w:r w:rsidR="00C5015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50150" w:rsidRPr="00C5015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к цене на мощность в целях частичной компенсации стоимости мощности, поставленной с использованием генерирующих объектов тепловых электростанций, модернизированных, реконструированных и построенных на территори</w:t>
            </w:r>
            <w:r w:rsidR="00C5015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ях неценовых зон оптового рынка,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–</w:t>
            </w:r>
          </w:p>
          <w:p w14:paraId="530240B2" w14:textId="40B48EFC" w:rsidR="00894F0D" w:rsidRPr="00300C78" w:rsidRDefault="00894F0D" w:rsidP="00182766">
            <w:pPr>
              <w:pStyle w:val="ac"/>
              <w:widowControl w:val="0"/>
              <w:spacing w:before="120" w:after="120"/>
              <w:ind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894F0D">
              <w:rPr>
                <w:rFonts w:ascii="Garamond" w:hAnsi="Garamond"/>
                <w:sz w:val="22"/>
                <w:szCs w:val="22"/>
                <w:highlight w:val="yellow"/>
              </w:rPr>
              <w:t>КО в отношении участника оптового рынка</w:t>
            </w:r>
            <w:r w:rsidRPr="00894F0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i</w:t>
            </w:r>
            <w:r w:rsidRPr="00894F0D">
              <w:rPr>
                <w:rFonts w:ascii="Garamond" w:hAnsi="Garamond"/>
                <w:sz w:val="22"/>
                <w:szCs w:val="22"/>
                <w:highlight w:val="yellow"/>
              </w:rPr>
              <w:t xml:space="preserve"> рассчитываются следующие переменные:</w:t>
            </w:r>
          </w:p>
          <w:p w14:paraId="4DC2F589" w14:textId="43139A19" w:rsidR="00894F0D" w:rsidRDefault="00894F0D" w:rsidP="00894F0D">
            <w:pPr>
              <w:pStyle w:val="ac"/>
              <w:widowControl w:val="0"/>
              <w:spacing w:before="120" w:after="120"/>
              <w:ind w:firstLine="60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94F0D">
              <w:rPr>
                <w:rFonts w:ascii="Garamond" w:hAnsi="Garamond"/>
                <w:sz w:val="22"/>
                <w:szCs w:val="22"/>
                <w:highlight w:val="yellow"/>
              </w:rPr>
              <w:t xml:space="preserve">–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m:rPr>
                      <m:nor/>
                    </m:rPr>
                    <w:rPr>
                      <w:rFonts w:ascii="Cambria Math" w:hAnsi="Cambria Math"/>
                      <w:szCs w:val="22"/>
                      <w:highlight w:val="yellow"/>
                    </w:rPr>
                    <m:t>факт_надб_ДФО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 xml:space="preserve"> </m:t>
                  </m:r>
                </m:sup>
              </m:sSubSup>
            </m:oMath>
            <w:r w:rsidRPr="00894F0D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Pr="00894F0D">
              <w:rPr>
                <w:rFonts w:ascii="Garamond" w:hAnsi="Garamond"/>
                <w:sz w:val="22"/>
                <w:szCs w:val="22"/>
                <w:highlight w:val="yellow"/>
              </w:rPr>
              <w:t>– величина,</w:t>
            </w:r>
            <w:r w:rsidRPr="00894F0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обусловленная применением надбавки к цене на мощность, устанавливаемой в целях достижения на территориях Дальневосточного федерального округа базовых уровней цен (тарифов) на электрическую энергию (мощность) для субъектов Российской Федерации, входящих в состав Дальневосточного федерального округа, </w:t>
            </w:r>
            <w:r w:rsidR="00353C64" w:rsidRPr="00894F0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определяемая</w:t>
            </w:r>
            <w:r w:rsidR="00E221E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в отношении ГТП генерации </w:t>
            </w:r>
            <w:r w:rsidR="00E221E9" w:rsidRPr="00E221E9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p</w:t>
            </w:r>
            <w:r w:rsidR="00353C64" w:rsidRPr="00894F0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EA22C6">
              <w:rPr>
                <w:rFonts w:ascii="Garamond" w:hAnsi="Garamond"/>
                <w:sz w:val="22"/>
                <w:szCs w:val="22"/>
                <w:highlight w:val="yellow"/>
              </w:rPr>
              <w:t>в</w:t>
            </w:r>
            <w:r w:rsidR="00353C64" w:rsidRPr="00894F0D">
              <w:rPr>
                <w:rFonts w:ascii="Garamond" w:hAnsi="Garamond"/>
                <w:sz w:val="22"/>
                <w:szCs w:val="22"/>
                <w:highlight w:val="yellow"/>
              </w:rPr>
              <w:t xml:space="preserve"> ценовой зоне </w:t>
            </w:r>
            <w:r w:rsidR="00353C64" w:rsidRPr="00894F0D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="00353C64" w:rsidRPr="00894F0D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894F0D">
              <w:rPr>
                <w:rFonts w:ascii="Garamond" w:hAnsi="Garamond"/>
                <w:sz w:val="22"/>
                <w:szCs w:val="22"/>
                <w:highlight w:val="yellow"/>
              </w:rPr>
              <w:t xml:space="preserve">за расчетный месяц </w:t>
            </w:r>
            <w:r w:rsidRPr="00894F0D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Pr="00894F0D"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Pr="00894F0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 формуле:</w:t>
            </w:r>
          </w:p>
          <w:p w14:paraId="257F3872" w14:textId="4F6A4F70" w:rsidR="00894F0D" w:rsidRPr="00440A03" w:rsidRDefault="003B29FF" w:rsidP="00894F0D">
            <w:pPr>
              <w:widowControl w:val="0"/>
              <w:spacing w:before="120" w:after="120"/>
              <w:ind w:left="319"/>
              <w:jc w:val="center"/>
              <w:rPr>
                <w:rFonts w:eastAsia="Arial Unicode MS"/>
                <w:szCs w:val="22"/>
                <w:highlight w:val="yellow"/>
                <w:lang w:val="ru-RU" w:eastAsia="ru-RU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p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i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факт_надб_ДФО</m:t>
                  </m:r>
                </m:sup>
              </m:sSubSup>
              <m:r>
                <w:rPr>
                  <w:rFonts w:ascii="Cambria Math" w:hAnsi="Cambria Math"/>
                  <w:sz w:val="24"/>
                  <w:szCs w:val="22"/>
                  <w:highlight w:val="yellow"/>
                  <w:lang w:val="ru-RU" w:eastAsia="ru-RU"/>
                </w:rPr>
                <m:t>=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k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m,z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сезон</m:t>
                  </m:r>
                </m:sup>
              </m:sSubSup>
              <m:r>
                <w:rPr>
                  <w:rFonts w:ascii="Cambria Math" w:eastAsia="Arial Unicode MS" w:hAnsi="Cambria Math"/>
                  <w:sz w:val="24"/>
                  <w:szCs w:val="22"/>
                  <w:highlight w:val="yellow"/>
                  <w:lang w:val="ru-RU" w:eastAsia="ru-RU"/>
                </w:rPr>
                <m:t>×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p,i,m,z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прод_КОМ</m:t>
                  </m:r>
                </m:sup>
              </m:sSubSup>
              <m:r>
                <w:rPr>
                  <w:rFonts w:ascii="Cambria Math" w:eastAsia="Arial Unicode MS" w:hAnsi="Cambria Math"/>
                  <w:sz w:val="24"/>
                  <w:szCs w:val="22"/>
                  <w:highlight w:val="yellow"/>
                  <w:lang w:val="ru-RU" w:eastAsia="ru-RU"/>
                </w:rPr>
                <m:t>×∆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Ц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надб_ДФО</m:t>
                  </m:r>
                </m:sup>
              </m:sSubSup>
            </m:oMath>
            <w:r w:rsidR="00894F0D">
              <w:rPr>
                <w:rFonts w:eastAsia="Arial Unicode MS"/>
                <w:sz w:val="24"/>
                <w:szCs w:val="22"/>
                <w:highlight w:val="yellow"/>
                <w:lang w:val="ru-RU" w:eastAsia="ru-RU"/>
              </w:rPr>
              <w:t>,</w:t>
            </w:r>
          </w:p>
          <w:p w14:paraId="43042D62" w14:textId="23FDDF3B" w:rsidR="00894F0D" w:rsidRPr="00381FC0" w:rsidRDefault="00353C64" w:rsidP="00182766">
            <w:pPr>
              <w:widowControl w:val="0"/>
              <w:spacing w:before="120" w:after="120"/>
              <w:jc w:val="both"/>
              <w:rPr>
                <w:szCs w:val="22"/>
                <w:lang w:val="ru-RU"/>
              </w:rPr>
            </w:pPr>
            <w:r w:rsidRPr="00381FC0">
              <w:rPr>
                <w:szCs w:val="22"/>
                <w:highlight w:val="yellow"/>
                <w:lang w:val="ru-RU"/>
              </w:rPr>
              <w:lastRenderedPageBreak/>
              <w:t xml:space="preserve">где </w:t>
            </w:r>
            <m:oMath>
              <m:r>
                <w:rPr>
                  <w:rFonts w:ascii="Cambria Math" w:eastAsia="Arial Unicode MS" w:hAnsi="Cambria Math"/>
                  <w:sz w:val="24"/>
                  <w:szCs w:val="22"/>
                  <w:highlight w:val="yellow"/>
                  <w:lang w:val="ru-RU" w:eastAsia="ru-RU"/>
                </w:rPr>
                <m:t>∆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Ц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надб_ДФО</m:t>
                  </m:r>
                </m:sup>
              </m:sSubSup>
            </m:oMath>
            <w:r w:rsidRPr="00381FC0">
              <w:rPr>
                <w:szCs w:val="22"/>
                <w:highlight w:val="yellow"/>
                <w:lang w:val="ru-RU"/>
              </w:rPr>
              <w:t xml:space="preserve"> – </w:t>
            </w:r>
            <w:r w:rsidR="00894F0D" w:rsidRPr="00381FC0">
              <w:rPr>
                <w:szCs w:val="22"/>
                <w:highlight w:val="yellow"/>
                <w:lang w:val="ru-RU"/>
              </w:rPr>
              <w:t>величина надбавки к цене на мощность, поставляемую в ценовых зонах оптового рынка субъектом оптового рынка – производителем электрической энергии (мощности), устанавливаемой в целях достижения на территориях Дальневосточного федерального округа базовых уровней цен (тарифов) на электрическую энергию (мощность) для субъектов Российской Федерации, входящих в состав Дальневосточного федерального округа, определяемая в соответствии с пунктом 13.1.4.1 настоящего Регламента</w:t>
            </w:r>
            <w:r w:rsidR="00182766">
              <w:rPr>
                <w:szCs w:val="22"/>
                <w:lang w:val="ru-RU"/>
              </w:rPr>
              <w:t>.</w:t>
            </w:r>
          </w:p>
          <w:p w14:paraId="322AD185" w14:textId="3AF675F3" w:rsidR="00894F0D" w:rsidRPr="00916D29" w:rsidRDefault="00894F0D" w:rsidP="00894F0D">
            <w:pPr>
              <w:pStyle w:val="ac"/>
              <w:widowControl w:val="0"/>
              <w:spacing w:before="120" w:after="120"/>
              <w:ind w:firstLine="603"/>
              <w:jc w:val="both"/>
              <w:rPr>
                <w:rFonts w:ascii="Garamond" w:hAnsi="Garamond"/>
                <w:sz w:val="22"/>
                <w:szCs w:val="22"/>
              </w:rPr>
            </w:pPr>
            <w:r w:rsidRPr="00894F0D">
              <w:rPr>
                <w:rFonts w:ascii="Garamond" w:hAnsi="Garamond"/>
                <w:sz w:val="22"/>
                <w:szCs w:val="22"/>
                <w:highlight w:val="yellow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факт_надб_ДФО</m:t>
                  </m:r>
                </m:sup>
              </m:sSubSup>
            </m:oMath>
            <w:r w:rsidRPr="00894F0D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353C64" w:rsidRPr="00894F0D">
              <w:rPr>
                <w:rFonts w:ascii="Garamond" w:hAnsi="Garamond"/>
                <w:sz w:val="22"/>
                <w:szCs w:val="22"/>
                <w:highlight w:val="yellow"/>
              </w:rPr>
              <w:t xml:space="preserve">определяется по всем ГТП генерации </w:t>
            </w:r>
            <w:r w:rsidR="00353C64" w:rsidRPr="00894F0D">
              <w:rPr>
                <w:rFonts w:ascii="Garamond" w:hAnsi="Garamond"/>
                <w:i/>
                <w:sz w:val="22"/>
                <w:szCs w:val="22"/>
                <w:highlight w:val="yellow"/>
                <w:lang w:val="en-GB"/>
              </w:rPr>
              <w:t>p</w:t>
            </w:r>
            <w:r w:rsidR="00353C64" w:rsidRPr="00894F0D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894F0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Pr="00894F0D">
              <w:rPr>
                <w:rFonts w:ascii="Garamond" w:hAnsi="Garamond"/>
                <w:sz w:val="22"/>
                <w:szCs w:val="22"/>
                <w:highlight w:val="yellow"/>
              </w:rPr>
              <w:t xml:space="preserve">расположенным в ценовой зоне оптового рынка </w:t>
            </w:r>
            <w:r w:rsidRPr="00894F0D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z</w:t>
            </w:r>
            <w:r w:rsidRPr="00894F0D">
              <w:rPr>
                <w:rFonts w:ascii="Garamond" w:hAnsi="Garamond"/>
                <w:sz w:val="22"/>
                <w:szCs w:val="22"/>
                <w:highlight w:val="yellow"/>
              </w:rPr>
              <w:t>, участника оптового рынка</w:t>
            </w:r>
            <w:r w:rsidRPr="00894F0D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894F0D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i</w:t>
            </w:r>
            <w:proofErr w:type="spellEnd"/>
            <w:r w:rsidRPr="00894F0D">
              <w:rPr>
                <w:rFonts w:ascii="Garamond" w:hAnsi="Garamond"/>
                <w:sz w:val="22"/>
                <w:szCs w:val="22"/>
                <w:highlight w:val="yellow"/>
              </w:rPr>
              <w:t>, являющегося в соответствии с распоряжением Правительства Российской Федерации субъектом оптового рынка – производителем электрической энергии (мощности), к цене на мощность которого применяется надбавка в целях достижения на территориях Дальневосточного федерального округа планируемых на следующий период регулирования базовых уровней цен (тарифов) на электрическую энергию (мощность)</w:t>
            </w:r>
            <w:r w:rsidR="00182766">
              <w:rPr>
                <w:rFonts w:ascii="Garamond" w:hAnsi="Garamond"/>
                <w:sz w:val="22"/>
                <w:szCs w:val="22"/>
              </w:rPr>
              <w:t>;</w:t>
            </w:r>
          </w:p>
          <w:p w14:paraId="5F7CEB21" w14:textId="53378C81" w:rsidR="00894F0D" w:rsidRPr="00440A03" w:rsidRDefault="00182766" w:rsidP="00894F0D">
            <w:pPr>
              <w:widowControl w:val="0"/>
              <w:spacing w:before="120" w:after="120"/>
              <w:ind w:firstLine="603"/>
              <w:jc w:val="both"/>
              <w:rPr>
                <w:rFonts w:eastAsia="Arial Unicode MS"/>
                <w:szCs w:val="22"/>
                <w:highlight w:val="yellow"/>
                <w:lang w:val="ru-RU" w:eastAsia="ru-RU"/>
              </w:rPr>
            </w:pPr>
            <w:r>
              <w:rPr>
                <w:rFonts w:eastAsia="Arial Unicode MS"/>
                <w:sz w:val="24"/>
                <w:szCs w:val="22"/>
                <w:highlight w:val="yellow"/>
                <w:lang w:val="ru-RU" w:eastAsia="ru-RU"/>
              </w:rPr>
              <w:t>–</w:t>
            </w:r>
            <w:r w:rsidR="00894F0D" w:rsidRPr="00894F0D">
              <w:rPr>
                <w:rFonts w:eastAsia="Arial Unicode MS"/>
                <w:sz w:val="24"/>
                <w:szCs w:val="22"/>
                <w:highlight w:val="yellow"/>
                <w:lang w:val="ru-RU"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p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i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факт_надб_МодНЦЗ</m:t>
                  </m:r>
                </m:sup>
              </m:sSubSup>
            </m:oMath>
            <w:r w:rsidR="00894F0D"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 – величина, обусловленная применением надбавки к цене на мощность в целях частичной компенсации стоимости мощности, поставленной с испо</w:t>
            </w:r>
            <w:r w:rsidR="00E864F1">
              <w:rPr>
                <w:rFonts w:eastAsia="Arial Unicode MS"/>
                <w:szCs w:val="22"/>
                <w:highlight w:val="yellow"/>
                <w:lang w:val="ru-RU" w:eastAsia="ru-RU"/>
              </w:rPr>
              <w:t>льзованием генерирующих объектов, включенных в перечень генерирующих объектов в неценовых зонах</w:t>
            </w:r>
            <w:r w:rsidR="00894F0D"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, определяемая в отношении ГТП генерации </w:t>
            </w:r>
            <w:r w:rsidR="00894F0D" w:rsidRPr="00440A03">
              <w:rPr>
                <w:rFonts w:eastAsia="Arial Unicode MS"/>
                <w:i/>
                <w:szCs w:val="22"/>
                <w:highlight w:val="yellow"/>
                <w:lang w:val="ru-RU" w:eastAsia="ru-RU"/>
              </w:rPr>
              <w:t xml:space="preserve">p </w:t>
            </w:r>
            <w:r w:rsidR="00894F0D"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>участника оптового рынка</w:t>
            </w:r>
            <w:r w:rsidR="00894F0D" w:rsidRPr="00440A03">
              <w:rPr>
                <w:rFonts w:eastAsia="Arial Unicode MS"/>
                <w:i/>
                <w:szCs w:val="22"/>
                <w:highlight w:val="yellow"/>
                <w:lang w:val="ru-RU" w:eastAsia="ru-RU"/>
              </w:rPr>
              <w:t xml:space="preserve"> </w:t>
            </w:r>
            <w:proofErr w:type="spellStart"/>
            <w:r w:rsidR="00894F0D" w:rsidRPr="00440A03">
              <w:rPr>
                <w:rFonts w:eastAsia="Arial Unicode MS"/>
                <w:i/>
                <w:szCs w:val="22"/>
                <w:highlight w:val="yellow"/>
                <w:lang w:val="en-US" w:eastAsia="ru-RU"/>
              </w:rPr>
              <w:t>i</w:t>
            </w:r>
            <w:proofErr w:type="spellEnd"/>
            <w:r w:rsidR="00894F0D"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 </w:t>
            </w:r>
            <w:r w:rsidR="00EC0521" w:rsidRPr="00EC0521">
              <w:rPr>
                <w:rFonts w:eastAsia="Arial Unicode MS"/>
                <w:szCs w:val="22"/>
                <w:highlight w:val="yellow"/>
                <w:lang w:val="ru-RU" w:eastAsia="ru-RU"/>
              </w:rPr>
              <w:t>в</w:t>
            </w:r>
            <w:r w:rsidR="00353C64"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 ценовой зоне </w:t>
            </w:r>
            <w:r w:rsidR="00894F0D" w:rsidRPr="00440A03">
              <w:rPr>
                <w:rFonts w:eastAsia="Arial Unicode MS"/>
                <w:i/>
                <w:szCs w:val="22"/>
                <w:highlight w:val="yellow"/>
                <w:lang w:val="en-US" w:eastAsia="ru-RU"/>
              </w:rPr>
              <w:t>z</w:t>
            </w:r>
            <w:r w:rsidR="00894F0D"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 за расчетный месяц </w:t>
            </w:r>
            <w:r w:rsidR="00894F0D" w:rsidRPr="00440A03">
              <w:rPr>
                <w:rFonts w:eastAsia="Arial Unicode MS"/>
                <w:i/>
                <w:szCs w:val="22"/>
                <w:highlight w:val="yellow"/>
                <w:lang w:val="en-US" w:eastAsia="ru-RU"/>
              </w:rPr>
              <w:t>m</w:t>
            </w:r>
            <w:r w:rsidR="00894F0D" w:rsidRPr="00440A03">
              <w:rPr>
                <w:rFonts w:eastAsia="Arial Unicode MS"/>
                <w:color w:val="000000"/>
                <w:szCs w:val="22"/>
                <w:highlight w:val="yellow"/>
                <w:lang w:val="ru-RU" w:eastAsia="ru-RU"/>
              </w:rPr>
              <w:t xml:space="preserve"> </w:t>
            </w:r>
            <w:r w:rsidR="00894F0D"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>по формуле:</w:t>
            </w:r>
          </w:p>
          <w:p w14:paraId="56552A87" w14:textId="0D6581DF" w:rsidR="00894F0D" w:rsidRPr="00440A03" w:rsidRDefault="003B29FF" w:rsidP="00894F0D">
            <w:pPr>
              <w:widowControl w:val="0"/>
              <w:spacing w:before="120" w:after="120"/>
              <w:ind w:left="319"/>
              <w:jc w:val="center"/>
              <w:rPr>
                <w:rFonts w:eastAsia="Arial Unicode MS"/>
                <w:szCs w:val="22"/>
                <w:highlight w:val="yellow"/>
                <w:lang w:val="ru-RU" w:eastAsia="ru-RU"/>
              </w:rPr>
            </w:pP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p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i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факт_надб_МодНЦЗ</m:t>
                  </m:r>
                </m:sup>
              </m:sSubSup>
              <m:r>
                <w:rPr>
                  <w:rFonts w:ascii="Cambria Math" w:hAnsi="Cambria Math"/>
                  <w:sz w:val="24"/>
                  <w:szCs w:val="22"/>
                  <w:highlight w:val="yellow"/>
                  <w:lang w:val="ru-RU" w:eastAsia="ru-RU"/>
                </w:rPr>
                <m:t>=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k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m,z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сезон</m:t>
                  </m:r>
                </m:sup>
              </m:sSubSup>
              <m:r>
                <w:rPr>
                  <w:rFonts w:ascii="Cambria Math" w:eastAsia="Arial Unicode MS" w:hAnsi="Cambria Math"/>
                  <w:sz w:val="24"/>
                  <w:szCs w:val="22"/>
                  <w:highlight w:val="yellow"/>
                  <w:lang w:val="ru-RU" w:eastAsia="ru-RU"/>
                </w:rPr>
                <m:t>×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N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p,i,m,z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прод_КОМ</m:t>
                  </m:r>
                </m:sup>
              </m:sSubSup>
              <m:r>
                <w:rPr>
                  <w:rFonts w:ascii="Cambria Math" w:eastAsia="Arial Unicode MS" w:hAnsi="Cambria Math"/>
                  <w:sz w:val="24"/>
                  <w:szCs w:val="22"/>
                  <w:highlight w:val="yellow"/>
                  <w:lang w:val="ru-RU" w:eastAsia="ru-RU"/>
                </w:rPr>
                <m:t>×∆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Ц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i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надб_МодНЦЗ</m:t>
                  </m:r>
                </m:sup>
              </m:sSubSup>
            </m:oMath>
            <w:r w:rsidR="00894F0D">
              <w:rPr>
                <w:rFonts w:eastAsia="Arial Unicode MS"/>
                <w:sz w:val="24"/>
                <w:szCs w:val="22"/>
                <w:highlight w:val="yellow"/>
                <w:lang w:val="ru-RU" w:eastAsia="ru-RU"/>
              </w:rPr>
              <w:t>,</w:t>
            </w:r>
          </w:p>
          <w:p w14:paraId="24273FA6" w14:textId="4C566DAB" w:rsidR="00894F0D" w:rsidRDefault="00894F0D" w:rsidP="00182766">
            <w:pPr>
              <w:widowControl w:val="0"/>
              <w:spacing w:before="120" w:after="120"/>
              <w:jc w:val="both"/>
              <w:rPr>
                <w:rFonts w:eastAsia="Arial Unicode MS"/>
                <w:szCs w:val="22"/>
                <w:lang w:val="ru-RU" w:eastAsia="ru-RU"/>
              </w:rPr>
            </w:pPr>
            <w:r w:rsidRPr="00894F0D">
              <w:rPr>
                <w:rFonts w:eastAsia="Arial Unicode MS"/>
                <w:sz w:val="24"/>
                <w:szCs w:val="22"/>
                <w:highlight w:val="yellow"/>
                <w:lang w:val="ru-RU" w:eastAsia="ru-RU"/>
              </w:rPr>
              <w:t xml:space="preserve">где </w:t>
            </w:r>
            <m:oMath>
              <m:r>
                <w:rPr>
                  <w:rFonts w:ascii="Cambria Math" w:eastAsia="Arial Unicode MS" w:hAnsi="Cambria Math"/>
                  <w:sz w:val="24"/>
                  <w:szCs w:val="22"/>
                  <w:highlight w:val="yellow"/>
                  <w:lang w:val="ru-RU" w:eastAsia="ru-RU"/>
                </w:rPr>
                <m:t>∆</m:t>
              </m:r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Ц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i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надб_МодНЦЗ</m:t>
                  </m:r>
                </m:sup>
              </m:sSubSup>
            </m:oMath>
            <w:r w:rsidRPr="00440A03">
              <w:rPr>
                <w:rFonts w:eastAsia="Arial Unicode MS"/>
                <w:noProof/>
                <w:szCs w:val="22"/>
                <w:highlight w:val="yellow"/>
                <w:lang w:val="ru-RU" w:eastAsia="ru-RU"/>
              </w:rPr>
              <w:t xml:space="preserve"> </w:t>
            </w:r>
            <w:r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– величина надбавки к цене на мощность ГТП генерации </w:t>
            </w:r>
            <w:r w:rsidRPr="00440A03">
              <w:rPr>
                <w:rFonts w:eastAsia="Arial Unicode MS"/>
                <w:i/>
                <w:szCs w:val="22"/>
                <w:highlight w:val="yellow"/>
                <w:lang w:val="ru-RU" w:eastAsia="ru-RU"/>
              </w:rPr>
              <w:t>p</w:t>
            </w:r>
            <w:r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, расположенной в ценовой зоне </w:t>
            </w:r>
            <w:r w:rsidRPr="00440A03">
              <w:rPr>
                <w:rFonts w:eastAsia="Arial Unicode MS"/>
                <w:i/>
                <w:szCs w:val="22"/>
                <w:highlight w:val="yellow"/>
                <w:lang w:val="ru-RU" w:eastAsia="ru-RU"/>
              </w:rPr>
              <w:t>z</w:t>
            </w:r>
            <w:r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 оптового рынка, участника оптового рынка </w:t>
            </w:r>
            <w:r w:rsidRPr="00440A03">
              <w:rPr>
                <w:rFonts w:eastAsia="Arial Unicode MS"/>
                <w:i/>
                <w:szCs w:val="22"/>
                <w:highlight w:val="yellow"/>
                <w:lang w:val="ru-RU" w:eastAsia="ru-RU"/>
              </w:rPr>
              <w:t>i</w:t>
            </w:r>
            <w:r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>, в отношении которого предусматривается частичная компенсация стоимости мощности, поставленной с использованием генерирующих объектов тепловых электростанций, модернизированных, реконструированных и построенных на территориях неценовых зон оптового рынка, определяемая в соответствии с пунктом 13.1.4.1 настоящего Регламента.</w:t>
            </w:r>
          </w:p>
          <w:p w14:paraId="1C4D5935" w14:textId="77CF63F3" w:rsidR="00894F0D" w:rsidRPr="00440A03" w:rsidRDefault="00894F0D" w:rsidP="00894F0D">
            <w:pPr>
              <w:widowControl w:val="0"/>
              <w:spacing w:before="120" w:after="120"/>
              <w:ind w:firstLine="567"/>
              <w:jc w:val="both"/>
              <w:rPr>
                <w:rFonts w:eastAsia="Arial Unicode MS"/>
                <w:szCs w:val="22"/>
                <w:lang w:val="ru-RU" w:eastAsia="ru-RU"/>
              </w:rPr>
            </w:pPr>
            <w:r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p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i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факт_надб_МодНЦЗ</m:t>
                  </m:r>
                </m:sup>
              </m:sSubSup>
            </m:oMath>
            <w:r w:rsidRPr="00440A03">
              <w:rPr>
                <w:rFonts w:eastAsia="Arial Unicode MS"/>
                <w:sz w:val="24"/>
                <w:szCs w:val="22"/>
                <w:highlight w:val="yellow"/>
                <w:lang w:val="ru-RU" w:eastAsia="ru-RU"/>
              </w:rPr>
              <w:t xml:space="preserve"> </w:t>
            </w:r>
            <w:r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определяется </w:t>
            </w:r>
            <w:r w:rsidR="00DA5608"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по всем ГТП генерации </w:t>
            </w:r>
            <w:r w:rsidR="00DA5608" w:rsidRPr="00440A03">
              <w:rPr>
                <w:rFonts w:eastAsia="Arial Unicode MS"/>
                <w:i/>
                <w:szCs w:val="22"/>
                <w:highlight w:val="yellow"/>
                <w:lang w:val="ru-RU" w:eastAsia="ru-RU"/>
              </w:rPr>
              <w:t>p</w:t>
            </w:r>
            <w:r w:rsidR="00DA5608"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>,</w:t>
            </w:r>
            <w:r w:rsidR="00DA5608" w:rsidRPr="00440A03">
              <w:rPr>
                <w:rFonts w:eastAsia="Arial Unicode MS"/>
                <w:i/>
                <w:szCs w:val="22"/>
                <w:highlight w:val="yellow"/>
                <w:lang w:val="ru-RU" w:eastAsia="ru-RU"/>
              </w:rPr>
              <w:t xml:space="preserve"> </w:t>
            </w:r>
            <w:r w:rsidR="00DA5608"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расположенным в ценовой зоне оптового рынка </w:t>
            </w:r>
            <w:r w:rsidR="00DA5608" w:rsidRPr="00440A03">
              <w:rPr>
                <w:rFonts w:eastAsia="Arial Unicode MS"/>
                <w:i/>
                <w:szCs w:val="22"/>
                <w:highlight w:val="yellow"/>
                <w:lang w:val="en-US" w:eastAsia="ru-RU"/>
              </w:rPr>
              <w:t>z</w:t>
            </w:r>
            <w:r w:rsidR="00DA5608"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, </w:t>
            </w:r>
            <w:r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>участника оптового рынка</w:t>
            </w:r>
            <w:r w:rsidRPr="00440A03">
              <w:rPr>
                <w:rFonts w:eastAsia="Arial Unicode MS"/>
                <w:i/>
                <w:szCs w:val="22"/>
                <w:highlight w:val="yellow"/>
                <w:lang w:val="ru-RU" w:eastAsia="ru-RU"/>
              </w:rPr>
              <w:t xml:space="preserve"> </w:t>
            </w:r>
            <w:proofErr w:type="spellStart"/>
            <w:r w:rsidRPr="00440A03">
              <w:rPr>
                <w:rFonts w:eastAsia="Arial Unicode MS"/>
                <w:i/>
                <w:szCs w:val="22"/>
                <w:highlight w:val="yellow"/>
                <w:lang w:val="en-US" w:eastAsia="ru-RU"/>
              </w:rPr>
              <w:t>i</w:t>
            </w:r>
            <w:proofErr w:type="spellEnd"/>
            <w:r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, являющегося в соответствии с распоряжением Правительства Российской Федерации субъектом оптового рынка – производителем электрической </w:t>
            </w:r>
            <w:r w:rsidRPr="00440A03">
              <w:rPr>
                <w:rFonts w:eastAsia="Arial Unicode MS"/>
                <w:szCs w:val="22"/>
                <w:highlight w:val="yellow"/>
                <w:lang w:val="ru-RU" w:eastAsia="ru-RU"/>
              </w:rPr>
              <w:lastRenderedPageBreak/>
              <w:t>энергии (мощности), к цене на мощность которого применяется надбавка в целях частичной компенсации стоимости мощности, поставленной с использованием генерирующих объектов тепловых электростанций, модернизированных, реконструированных и построенных на территориях неценовых зон оптового рынка.</w:t>
            </w:r>
          </w:p>
          <w:p w14:paraId="1ED38674" w14:textId="68F72A05" w:rsidR="00894F0D" w:rsidRPr="00440A03" w:rsidRDefault="00894F0D" w:rsidP="00894F0D">
            <w:pPr>
              <w:widowControl w:val="0"/>
              <w:spacing w:before="120" w:after="120"/>
              <w:ind w:firstLine="567"/>
              <w:jc w:val="both"/>
              <w:rPr>
                <w:rFonts w:eastAsia="Arial Unicode MS"/>
                <w:szCs w:val="22"/>
                <w:lang w:val="ru-RU" w:eastAsia="ru-RU"/>
              </w:rPr>
            </w:pPr>
            <w:r w:rsidRPr="00C50150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При расчете величин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p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i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факт_надб_ДФО</m:t>
                  </m:r>
                </m:sup>
              </m:sSubSup>
            </m:oMath>
            <w:r w:rsidRPr="00C50150">
              <w:rPr>
                <w:rFonts w:eastAsia="Arial Unicode MS"/>
                <w:sz w:val="24"/>
                <w:szCs w:val="22"/>
                <w:highlight w:val="yellow"/>
                <w:lang w:val="ru-RU" w:eastAsia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highlight w:val="yellow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p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i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highlight w:val="yellow"/>
                      <w:lang w:val="ru-RU" w:eastAsia="ru-RU"/>
                    </w:rPr>
                    <m:t>факт_надб_МодНЦЗ</m:t>
                  </m:r>
                </m:sup>
              </m:sSubSup>
            </m:oMath>
            <w:r w:rsidRPr="00C50150">
              <w:rPr>
                <w:rFonts w:eastAsia="Arial Unicode MS"/>
                <w:sz w:val="24"/>
                <w:szCs w:val="22"/>
                <w:highlight w:val="yellow"/>
                <w:lang w:val="ru-RU" w:eastAsia="ru-RU"/>
              </w:rPr>
              <w:t xml:space="preserve"> </w:t>
            </w:r>
            <w:r w:rsidRPr="00C50150">
              <w:rPr>
                <w:rFonts w:eastAsia="Arial Unicode MS"/>
                <w:szCs w:val="22"/>
                <w:highlight w:val="yellow"/>
                <w:lang w:val="ru-RU" w:eastAsia="ru-RU"/>
              </w:rPr>
              <w:t xml:space="preserve"> округление производится методом математического округления с точностью до 2 знаков после запятой.</w:t>
            </w:r>
          </w:p>
          <w:p w14:paraId="7818505E" w14:textId="77777777" w:rsidR="00C50150" w:rsidRPr="003C0090" w:rsidRDefault="00C50150" w:rsidP="00C50150">
            <w:pPr>
              <w:pStyle w:val="ac"/>
              <w:widowControl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300C78">
              <w:rPr>
                <w:rFonts w:ascii="Garamond" w:hAnsi="Garamond"/>
                <w:sz w:val="22"/>
                <w:szCs w:val="22"/>
              </w:rPr>
              <w:t>Пропорциональное распределение величин, определяемых в настоящем пункте, осуществляется в соответствии с алгоритмом, указанным в приложении</w:t>
            </w:r>
            <w:r w:rsidRPr="003C0090">
              <w:rPr>
                <w:rFonts w:ascii="Garamond" w:hAnsi="Garamond"/>
                <w:sz w:val="22"/>
                <w:szCs w:val="22"/>
              </w:rPr>
              <w:t xml:space="preserve"> 90 к настоящему Регламенту.</w:t>
            </w:r>
          </w:p>
          <w:p w14:paraId="23C7DFA0" w14:textId="7A01D8EB" w:rsidR="00440A03" w:rsidRPr="009E7373" w:rsidRDefault="00440A03" w:rsidP="009E7373">
            <w:pPr>
              <w:keepNext/>
              <w:spacing w:before="120" w:after="120"/>
              <w:ind w:left="426"/>
              <w:jc w:val="both"/>
              <w:outlineLvl w:val="0"/>
              <w:rPr>
                <w:rFonts w:cs="Garamond"/>
                <w:caps/>
                <w:color w:val="000000"/>
                <w:kern w:val="28"/>
                <w:lang w:val="ru-RU" w:eastAsia="ru-RU"/>
              </w:rPr>
            </w:pPr>
            <w:r>
              <w:rPr>
                <w:rFonts w:cs="Garamond"/>
                <w:caps/>
                <w:color w:val="000000"/>
                <w:kern w:val="28"/>
                <w:lang w:val="ru-RU" w:eastAsia="ru-RU"/>
              </w:rPr>
              <w:t>…</w:t>
            </w:r>
          </w:p>
        </w:tc>
      </w:tr>
      <w:tr w:rsidR="006D7E57" w:rsidRPr="0061777E" w14:paraId="6E60FDB9" w14:textId="77777777" w:rsidTr="001960AA">
        <w:trPr>
          <w:trHeight w:val="435"/>
        </w:trPr>
        <w:tc>
          <w:tcPr>
            <w:tcW w:w="988" w:type="dxa"/>
            <w:vAlign w:val="center"/>
          </w:tcPr>
          <w:p w14:paraId="7B4A5994" w14:textId="33EBA23D" w:rsidR="006D7E57" w:rsidRPr="00440A03" w:rsidRDefault="00440A03" w:rsidP="009E7373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en-US"/>
              </w:rPr>
              <w:lastRenderedPageBreak/>
              <w:t>13.1.</w:t>
            </w:r>
            <w:r>
              <w:rPr>
                <w:rFonts w:eastAsiaTheme="minorHAnsi" w:cs="Calibri"/>
                <w:b/>
                <w:lang w:val="ru-RU"/>
              </w:rPr>
              <w:t>7</w:t>
            </w:r>
          </w:p>
        </w:tc>
        <w:tc>
          <w:tcPr>
            <w:tcW w:w="6525" w:type="dxa"/>
          </w:tcPr>
          <w:p w14:paraId="325E0FC1" w14:textId="5D8F28EB" w:rsidR="00440A03" w:rsidRPr="00440A03" w:rsidRDefault="00440A03" w:rsidP="00C50150">
            <w:pPr>
              <w:widowControl w:val="0"/>
              <w:spacing w:before="120" w:after="120"/>
              <w:ind w:left="742"/>
              <w:jc w:val="both"/>
              <w:outlineLvl w:val="2"/>
              <w:rPr>
                <w:b/>
                <w:color w:val="000000"/>
                <w:szCs w:val="22"/>
                <w:lang w:val="ru-RU"/>
              </w:rPr>
            </w:pPr>
            <w:bookmarkStart w:id="2" w:name="_Toc394919039"/>
            <w:bookmarkStart w:id="3" w:name="_Toc157626109"/>
            <w:r>
              <w:rPr>
                <w:b/>
                <w:bCs/>
                <w:szCs w:val="22"/>
                <w:lang w:val="ru-RU" w:eastAsia="ru-RU"/>
              </w:rPr>
              <w:t xml:space="preserve">13.1.7. </w:t>
            </w:r>
            <w:r w:rsidRPr="00440A03">
              <w:rPr>
                <w:b/>
                <w:bCs/>
                <w:szCs w:val="22"/>
                <w:lang w:val="ru-RU" w:eastAsia="ru-RU"/>
              </w:rPr>
              <w:t>Порядок взаимодействия КО и участников оптового рынка, ФСК при проведении расчетов по договорам, заключенным по результатам конкурентного отбора мощности</w:t>
            </w:r>
            <w:bookmarkEnd w:id="2"/>
            <w:bookmarkEnd w:id="3"/>
          </w:p>
          <w:p w14:paraId="1037F0F0" w14:textId="77777777" w:rsidR="006D7E57" w:rsidRDefault="00440A03" w:rsidP="00894F0D">
            <w:pPr>
              <w:keepNext/>
              <w:spacing w:before="120" w:after="120"/>
              <w:ind w:left="426"/>
              <w:jc w:val="both"/>
              <w:outlineLvl w:val="0"/>
              <w:rPr>
                <w:rFonts w:cs="Garamond"/>
                <w:caps/>
                <w:color w:val="000000"/>
                <w:kern w:val="28"/>
                <w:lang w:val="ru-RU" w:eastAsia="ru-RU"/>
              </w:rPr>
            </w:pPr>
            <w:r>
              <w:rPr>
                <w:rFonts w:cs="Garamond"/>
                <w:caps/>
                <w:color w:val="000000"/>
                <w:kern w:val="28"/>
                <w:lang w:val="ru-RU" w:eastAsia="ru-RU"/>
              </w:rPr>
              <w:t>…</w:t>
            </w:r>
          </w:p>
          <w:p w14:paraId="62C642E1" w14:textId="77777777" w:rsidR="00440A03" w:rsidRPr="00183252" w:rsidRDefault="00440A03" w:rsidP="00440A03">
            <w:pPr>
              <w:spacing w:before="120" w:after="120"/>
              <w:ind w:firstLine="600"/>
              <w:jc w:val="both"/>
              <w:rPr>
                <w:szCs w:val="22"/>
                <w:lang w:val="ru-RU"/>
              </w:rPr>
            </w:pPr>
            <w:r w:rsidRPr="00183252">
              <w:rPr>
                <w:lang w:val="ru-RU"/>
              </w:rPr>
              <w:t xml:space="preserve">Не позднее 20-го числа месяца, следующего за расчетным, КО формирует и размещает для участников оптового рынка, ФСК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аналитические отчеты о величинах, обусловленных надбавками к цене на мощность, продаваемую по договорам КОМ (в том числе по договорам КОМ в целях компенсации потерь), и оплатой мощности, поставляемой по договорам КОМ НГО (в том числе по договорам КОМ НГО в целях компенсации потерь) (приложение 154.1 к настоящему Регламенту), определяемые согласно п. 13.1.6 настоящего Регламента в отношении ГТП потребления (экспорта) </w:t>
            </w:r>
            <w:r w:rsidRPr="00183252">
              <w:rPr>
                <w:i/>
                <w:lang w:val="en-US"/>
              </w:rPr>
              <w:t>q</w:t>
            </w:r>
            <w:r w:rsidRPr="00183252">
              <w:rPr>
                <w:i/>
                <w:lang w:val="ru-RU"/>
              </w:rPr>
              <w:t xml:space="preserve"> </w:t>
            </w:r>
            <w:r w:rsidRPr="00183252">
              <w:rPr>
                <w:lang w:val="ru-RU"/>
              </w:rPr>
              <w:t xml:space="preserve">участника оптового рынка </w:t>
            </w:r>
            <w:r w:rsidRPr="00183252">
              <w:rPr>
                <w:i/>
                <w:lang w:val="en-US"/>
              </w:rPr>
              <w:t>j</w:t>
            </w:r>
            <w:r w:rsidRPr="00183252">
              <w:rPr>
                <w:lang w:val="ru-RU"/>
              </w:rPr>
              <w:t xml:space="preserve"> (в отношении</w:t>
            </w:r>
            <w:r w:rsidRPr="00183252">
              <w:rPr>
                <w:i/>
                <w:lang w:val="ru-RU"/>
              </w:rPr>
              <w:t xml:space="preserve"> </w:t>
            </w:r>
            <w:r w:rsidRPr="00183252">
              <w:rPr>
                <w:lang w:val="ru-RU"/>
              </w:rPr>
              <w:t xml:space="preserve">субъекта Российской Федерации </w:t>
            </w:r>
            <w:r w:rsidRPr="00183252">
              <w:rPr>
                <w:i/>
                <w:lang w:val="en-US"/>
              </w:rPr>
              <w:t>f</w:t>
            </w:r>
            <w:r w:rsidRPr="00183252">
              <w:rPr>
                <w:i/>
                <w:lang w:val="ru-RU"/>
              </w:rPr>
              <w:t xml:space="preserve"> </w:t>
            </w:r>
            <w:r w:rsidRPr="00183252">
              <w:rPr>
                <w:lang w:val="ru-RU"/>
              </w:rPr>
              <w:t xml:space="preserve">для ФСК) за расчетный месяц </w:t>
            </w:r>
            <w:r w:rsidRPr="00183252">
              <w:rPr>
                <w:i/>
                <w:lang w:val="en-US"/>
              </w:rPr>
              <w:t>m</w:t>
            </w:r>
            <w:r w:rsidRPr="00183252">
              <w:rPr>
                <w:lang w:val="ru-RU"/>
              </w:rPr>
              <w:t>.</w:t>
            </w:r>
          </w:p>
          <w:p w14:paraId="3856534B" w14:textId="2BC3AF15" w:rsidR="00440A03" w:rsidRDefault="00440A03" w:rsidP="00894F0D">
            <w:pPr>
              <w:keepNext/>
              <w:spacing w:before="120" w:after="120"/>
              <w:ind w:left="426"/>
              <w:jc w:val="both"/>
              <w:outlineLvl w:val="0"/>
              <w:rPr>
                <w:rFonts w:cs="Garamond"/>
                <w:caps/>
                <w:color w:val="000000"/>
                <w:kern w:val="28"/>
                <w:lang w:val="ru-RU" w:eastAsia="ru-RU"/>
              </w:rPr>
            </w:pPr>
            <w:r>
              <w:rPr>
                <w:rFonts w:cs="Garamond"/>
                <w:caps/>
                <w:color w:val="000000"/>
                <w:kern w:val="28"/>
                <w:lang w:val="ru-RU" w:eastAsia="ru-RU"/>
              </w:rPr>
              <w:t>…</w:t>
            </w:r>
          </w:p>
          <w:p w14:paraId="139F80D6" w14:textId="2DC8ECFA" w:rsidR="00440A03" w:rsidRPr="00440A03" w:rsidRDefault="00440A03" w:rsidP="00894F0D">
            <w:pPr>
              <w:keepNext/>
              <w:spacing w:before="120" w:after="120"/>
              <w:ind w:left="426"/>
              <w:jc w:val="both"/>
              <w:outlineLvl w:val="0"/>
              <w:rPr>
                <w:rFonts w:cs="Garamond"/>
                <w:caps/>
                <w:color w:val="000000"/>
                <w:kern w:val="28"/>
                <w:lang w:val="ru-RU" w:eastAsia="ru-RU"/>
              </w:rPr>
            </w:pPr>
          </w:p>
        </w:tc>
        <w:tc>
          <w:tcPr>
            <w:tcW w:w="7229" w:type="dxa"/>
          </w:tcPr>
          <w:p w14:paraId="42BC2CD3" w14:textId="77777777" w:rsidR="00C50150" w:rsidRPr="00440A03" w:rsidRDefault="00C50150" w:rsidP="00C50150">
            <w:pPr>
              <w:widowControl w:val="0"/>
              <w:spacing w:before="120" w:after="120"/>
              <w:ind w:left="814"/>
              <w:jc w:val="both"/>
              <w:outlineLvl w:val="2"/>
              <w:rPr>
                <w:b/>
                <w:color w:val="000000"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 w:eastAsia="ru-RU"/>
              </w:rPr>
              <w:t xml:space="preserve">13.1.7. </w:t>
            </w:r>
            <w:r w:rsidRPr="00440A03">
              <w:rPr>
                <w:b/>
                <w:bCs/>
                <w:szCs w:val="22"/>
                <w:lang w:val="ru-RU" w:eastAsia="ru-RU"/>
              </w:rPr>
              <w:t>Порядок взаимодействия КО и участников оптового рынка, ФСК при проведении расчетов по договорам, заключенным по результатам конкурентного отбора мощности</w:t>
            </w:r>
          </w:p>
          <w:p w14:paraId="48108161" w14:textId="77777777" w:rsidR="00C50150" w:rsidRDefault="00C50150" w:rsidP="00C50150">
            <w:pPr>
              <w:keepNext/>
              <w:spacing w:before="120" w:after="120"/>
              <w:ind w:left="426"/>
              <w:jc w:val="both"/>
              <w:outlineLvl w:val="0"/>
              <w:rPr>
                <w:rFonts w:cs="Garamond"/>
                <w:caps/>
                <w:color w:val="000000"/>
                <w:kern w:val="28"/>
                <w:lang w:val="ru-RU" w:eastAsia="ru-RU"/>
              </w:rPr>
            </w:pPr>
            <w:r>
              <w:rPr>
                <w:rFonts w:cs="Garamond"/>
                <w:caps/>
                <w:color w:val="000000"/>
                <w:kern w:val="28"/>
                <w:lang w:val="ru-RU" w:eastAsia="ru-RU"/>
              </w:rPr>
              <w:t>…</w:t>
            </w:r>
          </w:p>
          <w:p w14:paraId="3C404134" w14:textId="77777777" w:rsidR="00C50150" w:rsidRDefault="00C50150" w:rsidP="00C50150">
            <w:pPr>
              <w:spacing w:before="120" w:after="120"/>
              <w:ind w:firstLine="600"/>
              <w:jc w:val="both"/>
              <w:rPr>
                <w:lang w:val="ru-RU"/>
              </w:rPr>
            </w:pPr>
            <w:r w:rsidRPr="00183252">
              <w:rPr>
                <w:lang w:val="ru-RU"/>
              </w:rPr>
              <w:t xml:space="preserve">Не позднее 20-го числа месяца, следующего за расчетным, КО формирует и размещает для участников оптового рынка, ФСК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аналитические отчеты о величинах, обусловленных надбавками к цене на мощность, продаваемую по договорам КОМ (в том числе по договорам КОМ в целях компенсации потерь), и оплатой мощности, поставляемой по договорам КОМ НГО (в том числе по договорам КОМ НГО в целях компенсации потерь) (приложение 154.1 к настоящему Регламенту), определяемые согласно п. 13.1.6 настоящего Регламента в отношении ГТП потребления (экспорта) </w:t>
            </w:r>
            <w:r w:rsidRPr="00183252">
              <w:rPr>
                <w:i/>
                <w:lang w:val="en-US"/>
              </w:rPr>
              <w:t>q</w:t>
            </w:r>
            <w:r w:rsidRPr="00183252">
              <w:rPr>
                <w:i/>
                <w:lang w:val="ru-RU"/>
              </w:rPr>
              <w:t xml:space="preserve"> </w:t>
            </w:r>
            <w:r w:rsidRPr="00183252">
              <w:rPr>
                <w:lang w:val="ru-RU"/>
              </w:rPr>
              <w:t xml:space="preserve">участника оптового рынка </w:t>
            </w:r>
            <w:r w:rsidRPr="00183252">
              <w:rPr>
                <w:i/>
                <w:lang w:val="en-US"/>
              </w:rPr>
              <w:t>j</w:t>
            </w:r>
            <w:r w:rsidRPr="00183252">
              <w:rPr>
                <w:lang w:val="ru-RU"/>
              </w:rPr>
              <w:t xml:space="preserve"> (в отношении</w:t>
            </w:r>
            <w:r w:rsidRPr="00183252">
              <w:rPr>
                <w:i/>
                <w:lang w:val="ru-RU"/>
              </w:rPr>
              <w:t xml:space="preserve"> </w:t>
            </w:r>
            <w:r w:rsidRPr="00183252">
              <w:rPr>
                <w:lang w:val="ru-RU"/>
              </w:rPr>
              <w:t xml:space="preserve">субъекта Российской Федерации </w:t>
            </w:r>
            <w:r w:rsidRPr="00183252">
              <w:rPr>
                <w:i/>
                <w:lang w:val="en-US"/>
              </w:rPr>
              <w:t>f</w:t>
            </w:r>
            <w:r w:rsidRPr="00183252">
              <w:rPr>
                <w:i/>
                <w:lang w:val="ru-RU"/>
              </w:rPr>
              <w:t xml:space="preserve"> </w:t>
            </w:r>
            <w:r w:rsidRPr="00183252">
              <w:rPr>
                <w:lang w:val="ru-RU"/>
              </w:rPr>
              <w:t xml:space="preserve">для ФСК) за расчетный месяц </w:t>
            </w:r>
            <w:r w:rsidRPr="00183252">
              <w:rPr>
                <w:i/>
                <w:lang w:val="en-US"/>
              </w:rPr>
              <w:t>m</w:t>
            </w:r>
            <w:r w:rsidRPr="00183252">
              <w:rPr>
                <w:lang w:val="ru-RU"/>
              </w:rPr>
              <w:t>.</w:t>
            </w:r>
          </w:p>
          <w:p w14:paraId="55DA35F4" w14:textId="70074415" w:rsidR="008F739F" w:rsidRPr="008F739F" w:rsidRDefault="00C50150" w:rsidP="008F739F">
            <w:pPr>
              <w:spacing w:before="120" w:after="120"/>
              <w:ind w:firstLine="600"/>
              <w:jc w:val="both"/>
              <w:rPr>
                <w:szCs w:val="22"/>
                <w:highlight w:val="yellow"/>
                <w:lang w:val="ru-RU"/>
              </w:rPr>
            </w:pPr>
            <w:r w:rsidRPr="00C50150">
              <w:rPr>
                <w:highlight w:val="yellow"/>
                <w:lang w:val="ru-RU"/>
              </w:rPr>
              <w:t xml:space="preserve">Не позднее 20-го числа месяца, следующего за расчетным, КО формирует и размещает для участников оптового рынка в электронном виде с применением ЭП на своем официальном сайте, в разделе с ограниченным в соответствии с Правилами ЭДО СЭД КО доступом персонифицированные </w:t>
            </w:r>
            <w:r w:rsidRPr="00C50150">
              <w:rPr>
                <w:rFonts w:cs="Arial CYR"/>
                <w:bCs/>
                <w:szCs w:val="18"/>
                <w:highlight w:val="yellow"/>
                <w:lang w:val="ru-RU"/>
              </w:rPr>
              <w:t xml:space="preserve">аналитические отчеты </w:t>
            </w:r>
            <w:r w:rsidR="0061777E" w:rsidRPr="0061777E">
              <w:rPr>
                <w:rFonts w:cs="Arial CYR"/>
                <w:bCs/>
                <w:szCs w:val="18"/>
                <w:highlight w:val="yellow"/>
                <w:lang w:val="ru-RU"/>
              </w:rPr>
              <w:t xml:space="preserve">о составляющих фактической стоимости мощности, обусловленных надбавками к цене на мощность, продаваемую по договорам </w:t>
            </w:r>
            <w:r w:rsidR="0061777E" w:rsidRPr="0061777E">
              <w:rPr>
                <w:rFonts w:cs="Arial CYR"/>
                <w:bCs/>
                <w:szCs w:val="18"/>
                <w:highlight w:val="yellow"/>
                <w:lang w:val="ru-RU"/>
              </w:rPr>
              <w:lastRenderedPageBreak/>
              <w:t xml:space="preserve">КОМ (в том числе по договорам КОМ в целях компенсации </w:t>
            </w:r>
            <w:r w:rsidR="0061777E" w:rsidRPr="008044A3">
              <w:rPr>
                <w:rFonts w:cs="Arial CYR"/>
                <w:bCs/>
                <w:szCs w:val="18"/>
                <w:highlight w:val="yellow"/>
                <w:lang w:val="ru-RU"/>
              </w:rPr>
              <w:t xml:space="preserve">потерь) </w:t>
            </w:r>
            <w:r w:rsidRPr="008044A3">
              <w:rPr>
                <w:highlight w:val="yellow"/>
                <w:lang w:val="ru-RU"/>
              </w:rPr>
              <w:t>(приложение 154.5 к наст</w:t>
            </w:r>
            <w:r w:rsidR="008F739F" w:rsidRPr="008044A3">
              <w:rPr>
                <w:highlight w:val="yellow"/>
                <w:lang w:val="ru-RU"/>
              </w:rPr>
              <w:t>оящему Регламенту), определяемы</w:t>
            </w:r>
            <w:r w:rsidR="00182766">
              <w:rPr>
                <w:highlight w:val="yellow"/>
                <w:lang w:val="ru-RU"/>
              </w:rPr>
              <w:t>х</w:t>
            </w:r>
            <w:r w:rsidRPr="008044A3">
              <w:rPr>
                <w:highlight w:val="yellow"/>
                <w:lang w:val="ru-RU"/>
              </w:rPr>
              <w:t xml:space="preserve"> согласно п. 13</w:t>
            </w:r>
            <w:r w:rsidRPr="00C50150">
              <w:rPr>
                <w:highlight w:val="yellow"/>
                <w:lang w:val="ru-RU"/>
              </w:rPr>
              <w:t>.1.6 настоящего Регламента</w:t>
            </w:r>
            <w:r w:rsidR="008F739F">
              <w:rPr>
                <w:highlight w:val="yellow"/>
                <w:lang w:val="ru-RU"/>
              </w:rPr>
              <w:t xml:space="preserve">. При этом указанные отчеты формируются и размещаются для </w:t>
            </w:r>
            <w:r w:rsidR="008F739F">
              <w:rPr>
                <w:szCs w:val="22"/>
                <w:highlight w:val="yellow"/>
                <w:lang w:val="ru-RU"/>
              </w:rPr>
              <w:t>участников</w:t>
            </w:r>
            <w:r w:rsidR="008F739F" w:rsidRPr="008F739F">
              <w:rPr>
                <w:szCs w:val="22"/>
                <w:highlight w:val="yellow"/>
                <w:lang w:val="ru-RU"/>
              </w:rPr>
              <w:t xml:space="preserve"> оптового рынка, которые определены Правительством Российской Федерации получателями хотя бы одной из следующих надбавок к цене на мощность:</w:t>
            </w:r>
          </w:p>
          <w:p w14:paraId="2F54A9AF" w14:textId="00AC3A82" w:rsidR="008F739F" w:rsidRDefault="00182766" w:rsidP="00182766">
            <w:pPr>
              <w:pStyle w:val="ac"/>
              <w:widowControl w:val="0"/>
              <w:spacing w:before="120" w:after="120"/>
              <w:ind w:firstLine="604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–</w:t>
            </w:r>
            <w:r w:rsidR="008F739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 </w:t>
            </w:r>
            <w:r w:rsidR="008F739F">
              <w:rPr>
                <w:rFonts w:ascii="Garamond" w:hAnsi="Garamond"/>
                <w:sz w:val="22"/>
                <w:szCs w:val="22"/>
                <w:highlight w:val="yellow"/>
              </w:rPr>
              <w:t xml:space="preserve">надбавки </w:t>
            </w:r>
            <w:r w:rsidR="008F739F" w:rsidRPr="00894F0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к цене на мощность</w:t>
            </w:r>
            <w:r w:rsidR="008F739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="008F739F" w:rsidRPr="00894F0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устанавливаемой в целях достижения на территориях Дальневосточного федерального округа базовых уровней цен (тарифов) на электрическую энергию (мощность) для субъектов Российской Федерации, входящих в состав Дальневосточного федерального округа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5DFE6275" w14:textId="3AF9E3AA" w:rsidR="008F739F" w:rsidRDefault="00182766" w:rsidP="00182766">
            <w:pPr>
              <w:pStyle w:val="ac"/>
              <w:widowControl w:val="0"/>
              <w:spacing w:before="120" w:after="120"/>
              <w:ind w:firstLine="604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–</w:t>
            </w:r>
            <w:r w:rsidR="008F739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 надбавки </w:t>
            </w:r>
            <w:r w:rsidR="008F739F" w:rsidRPr="00C5015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к цене на мощность в целях частичной компенсации стоимости мощности, поставленной с использованием генерирующих объектов тепловых электростанций, модернизированных, реконструированных и построенных на территори</w:t>
            </w:r>
            <w:r w:rsidR="008F739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ях неценовых зон оптового рынка.</w:t>
            </w:r>
          </w:p>
          <w:p w14:paraId="5FDE4DF1" w14:textId="6CBBCBEF" w:rsidR="006D7E57" w:rsidRPr="00C00A5A" w:rsidRDefault="00C00A5A" w:rsidP="00C00A5A">
            <w:pPr>
              <w:keepNext/>
              <w:spacing w:before="120" w:after="120"/>
              <w:ind w:left="426"/>
              <w:jc w:val="both"/>
              <w:outlineLvl w:val="0"/>
              <w:rPr>
                <w:rFonts w:cs="Garamond"/>
                <w:caps/>
                <w:color w:val="000000"/>
                <w:kern w:val="28"/>
                <w:lang w:val="ru-RU" w:eastAsia="ru-RU"/>
              </w:rPr>
            </w:pPr>
            <w:r>
              <w:rPr>
                <w:rFonts w:cs="Garamond"/>
                <w:caps/>
                <w:color w:val="000000"/>
                <w:kern w:val="28"/>
                <w:lang w:val="ru-RU" w:eastAsia="ru-RU"/>
              </w:rPr>
              <w:t>…</w:t>
            </w:r>
          </w:p>
        </w:tc>
      </w:tr>
    </w:tbl>
    <w:p w14:paraId="07A6E7F6" w14:textId="161CEBBD" w:rsidR="00C00A5A" w:rsidRDefault="00C00A5A" w:rsidP="00415F74">
      <w:pPr>
        <w:spacing w:before="120" w:after="0"/>
        <w:jc w:val="right"/>
        <w:rPr>
          <w:rFonts w:cs="Arial CYR"/>
          <w:b/>
          <w:bCs/>
          <w:szCs w:val="18"/>
          <w:lang w:val="ru-RU"/>
        </w:rPr>
      </w:pPr>
    </w:p>
    <w:p w14:paraId="7F47B964" w14:textId="17B7471C" w:rsidR="00B761DA" w:rsidRDefault="00B761DA" w:rsidP="00C00A5A">
      <w:pPr>
        <w:tabs>
          <w:tab w:val="left" w:pos="1680"/>
        </w:tabs>
        <w:rPr>
          <w:rFonts w:cs="Arial CYR"/>
          <w:b/>
          <w:bCs/>
          <w:szCs w:val="18"/>
          <w:lang w:val="ru-RU"/>
        </w:rPr>
      </w:pPr>
      <w:r>
        <w:rPr>
          <w:rFonts w:cs="Arial CYR"/>
          <w:b/>
          <w:bCs/>
          <w:szCs w:val="18"/>
          <w:lang w:val="ru-RU"/>
        </w:rPr>
        <w:t xml:space="preserve">Дополнить </w:t>
      </w:r>
      <w:r w:rsidR="00EA4A9D">
        <w:rPr>
          <w:rFonts w:cs="Arial CYR"/>
          <w:b/>
          <w:bCs/>
          <w:szCs w:val="18"/>
          <w:lang w:val="ru-RU"/>
        </w:rPr>
        <w:t>приложением</w:t>
      </w:r>
      <w:r w:rsidR="00182766">
        <w:rPr>
          <w:rFonts w:cs="Arial CYR"/>
          <w:b/>
          <w:bCs/>
          <w:szCs w:val="18"/>
          <w:lang w:val="ru-RU"/>
        </w:rPr>
        <w:t>:</w:t>
      </w:r>
    </w:p>
    <w:p w14:paraId="16956DE3" w14:textId="3FCF1D61" w:rsidR="00415F74" w:rsidRPr="006D7E57" w:rsidRDefault="00415F74" w:rsidP="00415F74">
      <w:pPr>
        <w:spacing w:before="120" w:after="0"/>
        <w:jc w:val="right"/>
        <w:rPr>
          <w:rFonts w:cs="Arial CYR"/>
          <w:b/>
          <w:bCs/>
          <w:szCs w:val="18"/>
          <w:lang w:val="ru-RU"/>
        </w:rPr>
      </w:pPr>
      <w:r w:rsidRPr="006D7E57">
        <w:rPr>
          <w:rFonts w:cs="Arial CYR"/>
          <w:b/>
          <w:bCs/>
          <w:szCs w:val="18"/>
          <w:lang w:val="ru-RU"/>
        </w:rPr>
        <w:t>Приложение 154.5</w:t>
      </w:r>
    </w:p>
    <w:p w14:paraId="7DA56D69" w14:textId="77777777" w:rsidR="00415F74" w:rsidRPr="006D7E57" w:rsidRDefault="00415F74" w:rsidP="00697ED8">
      <w:pPr>
        <w:spacing w:before="120" w:after="0"/>
        <w:jc w:val="center"/>
        <w:rPr>
          <w:rFonts w:cs="Arial CYR"/>
          <w:b/>
          <w:bCs/>
          <w:sz w:val="18"/>
          <w:szCs w:val="18"/>
          <w:lang w:val="ru-RU"/>
        </w:rPr>
      </w:pPr>
    </w:p>
    <w:p w14:paraId="0433807A" w14:textId="77777777" w:rsidR="008E6D86" w:rsidRPr="00CC5752" w:rsidRDefault="008E6D86" w:rsidP="008E6D86">
      <w:pPr>
        <w:spacing w:before="0" w:after="0"/>
        <w:jc w:val="right"/>
        <w:rPr>
          <w:rFonts w:cs="Arial CYR"/>
          <w:b/>
          <w:bCs/>
          <w:szCs w:val="18"/>
          <w:lang w:val="ru-RU"/>
        </w:rPr>
      </w:pPr>
      <w:r w:rsidRPr="00CC5752">
        <w:rPr>
          <w:rFonts w:cs="Arial CYR"/>
          <w:b/>
          <w:bCs/>
          <w:szCs w:val="18"/>
          <w:lang w:val="ru-RU"/>
        </w:rPr>
        <w:t>Отправитель: АО «АТС»</w:t>
      </w:r>
    </w:p>
    <w:p w14:paraId="7FBCAC86" w14:textId="77777777" w:rsidR="008E6D86" w:rsidRDefault="008E6D86" w:rsidP="009E00A0">
      <w:pPr>
        <w:spacing w:before="0" w:after="0"/>
        <w:jc w:val="center"/>
        <w:rPr>
          <w:rFonts w:cs="Arial CYR"/>
          <w:b/>
          <w:bCs/>
          <w:szCs w:val="18"/>
          <w:lang w:val="ru-RU"/>
        </w:rPr>
      </w:pPr>
    </w:p>
    <w:p w14:paraId="3BBA155E" w14:textId="02635867" w:rsidR="009E00A0" w:rsidRPr="006D7E57" w:rsidRDefault="009E00A0" w:rsidP="009E00A0">
      <w:pPr>
        <w:spacing w:before="0" w:after="0"/>
        <w:jc w:val="center"/>
        <w:rPr>
          <w:rFonts w:cs="Arial CYR"/>
          <w:b/>
          <w:bCs/>
          <w:szCs w:val="18"/>
          <w:u w:val="single"/>
          <w:lang w:val="ru-RU"/>
        </w:rPr>
      </w:pPr>
      <w:r w:rsidRPr="006D7E57">
        <w:rPr>
          <w:rFonts w:cs="Arial CYR"/>
          <w:b/>
          <w:bCs/>
          <w:szCs w:val="18"/>
          <w:lang w:val="ru-RU"/>
        </w:rPr>
        <w:t>Аналитический отчет о составляющих фактической стоимости мощности, обусловленных надбавками к ц</w:t>
      </w:r>
      <w:r w:rsidR="00182766">
        <w:rPr>
          <w:rFonts w:cs="Arial CYR"/>
          <w:b/>
          <w:bCs/>
          <w:szCs w:val="18"/>
          <w:lang w:val="ru-RU"/>
        </w:rPr>
        <w:t>ене на мощность, продаваемую по </w:t>
      </w:r>
      <w:r w:rsidRPr="006D7E57">
        <w:rPr>
          <w:rFonts w:cs="Arial CYR"/>
          <w:b/>
          <w:bCs/>
          <w:szCs w:val="18"/>
          <w:lang w:val="ru-RU"/>
        </w:rPr>
        <w:t xml:space="preserve">договорам КОМ (в том числе по договорам КОМ в целях </w:t>
      </w:r>
      <w:r>
        <w:rPr>
          <w:rFonts w:cs="Arial CYR"/>
          <w:b/>
          <w:bCs/>
          <w:szCs w:val="18"/>
          <w:lang w:val="ru-RU"/>
        </w:rPr>
        <w:t>компенсации потерь)</w:t>
      </w:r>
    </w:p>
    <w:p w14:paraId="5100803F" w14:textId="0212BBCC" w:rsidR="009E00A0" w:rsidRPr="006D7E57" w:rsidRDefault="009E00A0" w:rsidP="00FF0437">
      <w:pPr>
        <w:tabs>
          <w:tab w:val="left" w:pos="11558"/>
        </w:tabs>
        <w:spacing w:before="0" w:after="0"/>
        <w:jc w:val="center"/>
        <w:rPr>
          <w:rFonts w:cs="Arial CYR"/>
          <w:b/>
          <w:bCs/>
          <w:szCs w:val="18"/>
          <w:u w:val="single"/>
          <w:lang w:val="ru-RU"/>
        </w:rPr>
      </w:pPr>
    </w:p>
    <w:p w14:paraId="19C8DE74" w14:textId="77777777" w:rsidR="00167D16" w:rsidRPr="006D7E57" w:rsidRDefault="00167D16" w:rsidP="00167D16">
      <w:pPr>
        <w:spacing w:before="0" w:after="0"/>
        <w:rPr>
          <w:rFonts w:cs="Arial CYR"/>
          <w:b/>
          <w:bCs/>
          <w:sz w:val="18"/>
          <w:szCs w:val="18"/>
          <w:u w:val="single"/>
          <w:lang w:val="ru-RU"/>
        </w:rPr>
      </w:pPr>
    </w:p>
    <w:p w14:paraId="4A0AD0F8" w14:textId="77777777" w:rsidR="00167D16" w:rsidRPr="006D7E57" w:rsidRDefault="00167D16" w:rsidP="00167D16">
      <w:pPr>
        <w:spacing w:before="0" w:after="0"/>
        <w:rPr>
          <w:rFonts w:cs="Arial CYR"/>
          <w:bCs/>
          <w:szCs w:val="18"/>
          <w:lang w:val="ru-RU"/>
        </w:rPr>
      </w:pPr>
      <w:r w:rsidRPr="006D7E57">
        <w:rPr>
          <w:rFonts w:cs="Arial CYR"/>
          <w:bCs/>
          <w:szCs w:val="18"/>
          <w:lang w:val="ru-RU"/>
        </w:rPr>
        <w:t xml:space="preserve">Получатель: </w:t>
      </w:r>
    </w:p>
    <w:p w14:paraId="61664CE1" w14:textId="2F9FC5ED" w:rsidR="00A4367B" w:rsidRPr="006D7E57" w:rsidRDefault="00A4367B" w:rsidP="00A4367B">
      <w:pPr>
        <w:spacing w:before="0" w:after="0"/>
        <w:rPr>
          <w:i/>
          <w:sz w:val="32"/>
          <w:szCs w:val="26"/>
          <w:lang w:val="ru-RU"/>
        </w:rPr>
      </w:pPr>
      <w:r w:rsidRPr="006D7E57">
        <w:rPr>
          <w:rFonts w:cs="Arial CYR"/>
          <w:bCs/>
          <w:szCs w:val="18"/>
          <w:lang w:val="ru-RU"/>
        </w:rPr>
        <w:t>Ценовая зона:</w:t>
      </w:r>
    </w:p>
    <w:p w14:paraId="1BFFA937" w14:textId="3D596B27" w:rsidR="00697ED8" w:rsidRPr="006D7E57" w:rsidRDefault="00A4367B" w:rsidP="00167D16">
      <w:pPr>
        <w:spacing w:before="0" w:after="0"/>
        <w:rPr>
          <w:rFonts w:cs="Arial CYR"/>
          <w:bCs/>
          <w:szCs w:val="18"/>
          <w:lang w:val="ru-RU"/>
        </w:rPr>
      </w:pPr>
      <w:r w:rsidRPr="006D7E57">
        <w:rPr>
          <w:rFonts w:cs="Arial CYR"/>
          <w:bCs/>
          <w:szCs w:val="18"/>
          <w:lang w:val="ru-RU"/>
        </w:rPr>
        <w:t>Р</w:t>
      </w:r>
      <w:r w:rsidR="00697ED8" w:rsidRPr="006D7E57">
        <w:rPr>
          <w:rFonts w:cs="Arial CYR"/>
          <w:bCs/>
          <w:szCs w:val="18"/>
          <w:lang w:val="ru-RU"/>
        </w:rPr>
        <w:t>асчетный период</w:t>
      </w:r>
      <w:r w:rsidRPr="006D7E57">
        <w:rPr>
          <w:rFonts w:cs="Arial CYR"/>
          <w:bCs/>
          <w:szCs w:val="18"/>
          <w:lang w:val="ru-RU"/>
        </w:rPr>
        <w:t>:</w:t>
      </w:r>
    </w:p>
    <w:p w14:paraId="62259F79" w14:textId="77777777" w:rsidR="00697ED8" w:rsidRPr="006D7E57" w:rsidRDefault="00697ED8" w:rsidP="00697ED8">
      <w:pPr>
        <w:spacing w:before="0" w:after="0"/>
        <w:jc w:val="center"/>
        <w:rPr>
          <w:b/>
          <w:i/>
          <w:sz w:val="26"/>
          <w:szCs w:val="26"/>
          <w:lang w:val="ru-RU"/>
        </w:rPr>
      </w:pPr>
    </w:p>
    <w:tbl>
      <w:tblPr>
        <w:tblW w:w="491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9"/>
        <w:gridCol w:w="1134"/>
        <w:gridCol w:w="6231"/>
        <w:gridCol w:w="5948"/>
      </w:tblGrid>
      <w:tr w:rsidR="006D7E57" w:rsidRPr="003B29FF" w14:paraId="60DA6D25" w14:textId="77777777" w:rsidTr="001960AA">
        <w:trPr>
          <w:trHeight w:val="40"/>
        </w:trPr>
        <w:tc>
          <w:tcPr>
            <w:tcW w:w="349" w:type="pct"/>
            <w:tcMar>
              <w:left w:w="28" w:type="dxa"/>
              <w:right w:w="28" w:type="dxa"/>
            </w:tcMar>
            <w:vAlign w:val="center"/>
          </w:tcPr>
          <w:p w14:paraId="699CD29B" w14:textId="4DD63B9E" w:rsidR="006D7E57" w:rsidRPr="006D7E57" w:rsidRDefault="006D7E57" w:rsidP="00A4367B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20"/>
                <w:szCs w:val="18"/>
                <w:lang w:val="ru-RU" w:eastAsia="ru-RU"/>
              </w:rPr>
            </w:pPr>
            <w:r w:rsidRPr="006D7E57">
              <w:rPr>
                <w:rFonts w:cs="Arial"/>
                <w:b/>
                <w:bCs/>
                <w:color w:val="000000"/>
                <w:sz w:val="20"/>
                <w:szCs w:val="18"/>
                <w:lang w:val="ru-RU" w:eastAsia="ru-RU"/>
              </w:rPr>
              <w:t>№ п/п</w:t>
            </w:r>
          </w:p>
        </w:tc>
        <w:tc>
          <w:tcPr>
            <w:tcW w:w="396" w:type="pct"/>
            <w:tcMar>
              <w:left w:w="28" w:type="dxa"/>
              <w:right w:w="28" w:type="dxa"/>
            </w:tcMar>
            <w:vAlign w:val="center"/>
          </w:tcPr>
          <w:p w14:paraId="404886C2" w14:textId="2EC9ED74" w:rsidR="006D7E57" w:rsidRPr="006D7E57" w:rsidRDefault="006D7E57" w:rsidP="00A4367B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20"/>
                <w:szCs w:val="18"/>
                <w:lang w:val="ru-RU" w:eastAsia="ru-RU"/>
              </w:rPr>
            </w:pPr>
            <w:r w:rsidRPr="006D7E57">
              <w:rPr>
                <w:rFonts w:cs="Arial"/>
                <w:b/>
                <w:bCs/>
                <w:color w:val="000000"/>
                <w:sz w:val="20"/>
                <w:szCs w:val="18"/>
                <w:lang w:val="ru-RU" w:eastAsia="ru-RU"/>
              </w:rPr>
              <w:t>Код ГТП генерации</w:t>
            </w:r>
          </w:p>
        </w:tc>
        <w:tc>
          <w:tcPr>
            <w:tcW w:w="2177" w:type="pct"/>
            <w:tcMar>
              <w:left w:w="28" w:type="dxa"/>
              <w:right w:w="28" w:type="dxa"/>
            </w:tcMar>
          </w:tcPr>
          <w:p w14:paraId="582EE0F3" w14:textId="252D232B" w:rsidR="008F739F" w:rsidRPr="008F739F" w:rsidRDefault="006D7E57" w:rsidP="008F739F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</w:pPr>
            <w:r w:rsidRP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 xml:space="preserve">Величина, определяемая в отношении ГТП генерации </w:t>
            </w:r>
            <w:r w:rsidRPr="00B761DA">
              <w:rPr>
                <w:rFonts w:cs="Arial"/>
                <w:b/>
                <w:bCs/>
                <w:i/>
                <w:color w:val="000000"/>
                <w:sz w:val="20"/>
                <w:szCs w:val="16"/>
                <w:lang w:val="ru-RU" w:eastAsia="ru-RU"/>
              </w:rPr>
              <w:t>p</w:t>
            </w:r>
            <w:r w:rsidRP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 xml:space="preserve"> участника оптового рынка </w:t>
            </w:r>
            <w:r w:rsidRPr="00B761DA">
              <w:rPr>
                <w:rFonts w:cs="Arial"/>
                <w:b/>
                <w:bCs/>
                <w:i/>
                <w:color w:val="000000"/>
                <w:sz w:val="20"/>
                <w:szCs w:val="16"/>
                <w:lang w:val="ru-RU" w:eastAsia="ru-RU"/>
              </w:rPr>
              <w:t>i</w:t>
            </w:r>
            <w:r w:rsidRP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 xml:space="preserve">, </w:t>
            </w:r>
            <w:r w:rsidR="00DA5608" w:rsidRP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 xml:space="preserve">обусловленная </w:t>
            </w:r>
            <w:r w:rsidR="00EC0521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 xml:space="preserve">применением </w:t>
            </w:r>
            <w:r w:rsidR="00DA5608" w:rsidRP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надбавк</w:t>
            </w:r>
            <w:r w:rsidR="00EC0521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и</w:t>
            </w:r>
            <w:r w:rsidR="00DA5608" w:rsidRP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 xml:space="preserve"> </w:t>
            </w:r>
            <w:r w:rsidRP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к цене на мощность</w:t>
            </w:r>
            <w:r w:rsid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,</w:t>
            </w:r>
            <w:r w:rsidRP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 xml:space="preserve"> </w:t>
            </w:r>
            <w:r w:rsidR="008F739F" w:rsidRPr="008F739F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 xml:space="preserve">устанавливаемой в целях достижения на территориях Дальневосточного федерального округа базовых уровней цен (тарифов) на электрическую энергию (мощность) для субъектов </w:t>
            </w:r>
            <w:r w:rsidR="008F739F" w:rsidRPr="008F739F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lastRenderedPageBreak/>
              <w:t xml:space="preserve">Российской Федерации, входящих в состав Дальневосточного федерального округа </w:t>
            </w:r>
            <w:r w:rsidR="00C00A5A" w:rsidRPr="00C00A5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(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en-US" w:eastAsia="ru-RU"/>
                    </w:rPr>
                    <m:t>p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en-US" w:eastAsia="ru-RU"/>
                    </w:rPr>
                    <m:t>i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факт_надб_ДФО</m:t>
                  </m:r>
                </m:sup>
              </m:sSubSup>
            </m:oMath>
            <w:r w:rsidR="00C00A5A" w:rsidRPr="00C00A5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)</w:t>
            </w:r>
            <w:r w:rsidR="00B761DA" w:rsidRPr="00C00A5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, руб.</w:t>
            </w:r>
          </w:p>
        </w:tc>
        <w:tc>
          <w:tcPr>
            <w:tcW w:w="2078" w:type="pct"/>
            <w:tcMar>
              <w:left w:w="28" w:type="dxa"/>
              <w:right w:w="28" w:type="dxa"/>
            </w:tcMar>
          </w:tcPr>
          <w:p w14:paraId="62216527" w14:textId="6D4F9BA5" w:rsidR="00E864F1" w:rsidRDefault="006D7E57" w:rsidP="008F739F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</w:pPr>
            <w:r w:rsidRP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lastRenderedPageBreak/>
              <w:t xml:space="preserve">Величина, определяемая в отношении ГТП генерации </w:t>
            </w:r>
            <w:r w:rsidRPr="00B761DA">
              <w:rPr>
                <w:rFonts w:cs="Arial"/>
                <w:b/>
                <w:bCs/>
                <w:i/>
                <w:color w:val="000000"/>
                <w:sz w:val="20"/>
                <w:szCs w:val="16"/>
                <w:lang w:val="ru-RU" w:eastAsia="ru-RU"/>
              </w:rPr>
              <w:t>p</w:t>
            </w:r>
            <w:r w:rsidRP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 xml:space="preserve"> участника оптового рынка </w:t>
            </w:r>
            <w:r w:rsidRPr="00B761DA">
              <w:rPr>
                <w:rFonts w:cs="Arial"/>
                <w:b/>
                <w:bCs/>
                <w:i/>
                <w:color w:val="000000"/>
                <w:sz w:val="20"/>
                <w:szCs w:val="16"/>
                <w:lang w:val="ru-RU" w:eastAsia="ru-RU"/>
              </w:rPr>
              <w:t>i</w:t>
            </w:r>
            <w:r w:rsidRP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, обусловленная</w:t>
            </w:r>
            <w:r w:rsidR="00DE42C4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 xml:space="preserve"> применением надбавки </w:t>
            </w:r>
            <w:r w:rsidRP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 xml:space="preserve">к цене на мощность </w:t>
            </w:r>
            <w:r w:rsidRPr="00C00A5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в целях частичной компенсации стоимости мощности</w:t>
            </w:r>
            <w:r w:rsidR="00E864F1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,</w:t>
            </w:r>
            <w:r w:rsidR="00DA5608" w:rsidRPr="00C00A5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 xml:space="preserve"> поставленной с </w:t>
            </w:r>
            <w:r w:rsidR="00E864F1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использованием</w:t>
            </w:r>
            <w:r w:rsidR="00DA5608" w:rsidRPr="00C00A5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 xml:space="preserve"> генерирующих объектов, включенных в перечень генерирующих объектов в неценовых зонах </w:t>
            </w:r>
          </w:p>
          <w:p w14:paraId="19789E6D" w14:textId="2212EFF8" w:rsidR="006D7E57" w:rsidRPr="00B761DA" w:rsidRDefault="00E864F1" w:rsidP="008F739F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</w:pPr>
            <w:r w:rsidRPr="00C00A5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lastRenderedPageBreak/>
              <w:t xml:space="preserve"> </w:t>
            </w:r>
            <w:r w:rsidR="00C00A5A" w:rsidRPr="00C00A5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(</w:t>
            </w:r>
            <m:oMath>
              <m:sSubSup>
                <m:sSubSupPr>
                  <m:ctrlPr>
                    <w:rPr>
                      <w:rFonts w:ascii="Cambria Math" w:eastAsia="Arial Unicode MS" w:hAnsi="Cambria Math"/>
                      <w:i/>
                      <w:sz w:val="24"/>
                      <w:szCs w:val="22"/>
                      <w:lang w:val="ru-RU" w:eastAsia="ru-RU"/>
                    </w:rPr>
                  </m:ctrlPr>
                </m:sSubSupPr>
                <m:e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S</m:t>
                  </m:r>
                </m:e>
                <m:sub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en-US" w:eastAsia="ru-RU"/>
                    </w:rPr>
                    <m:t>p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en-US" w:eastAsia="ru-RU"/>
                    </w:rPr>
                    <m:t>i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en-US" w:eastAsia="ru-RU"/>
                    </w:rPr>
                    <m:t>m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,</m:t>
                  </m:r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Arial Unicode MS" w:hAnsi="Cambria Math"/>
                      <w:sz w:val="24"/>
                      <w:szCs w:val="22"/>
                      <w:lang w:val="ru-RU" w:eastAsia="ru-RU"/>
                    </w:rPr>
                    <m:t>факт_надб_МодНЦЗ</m:t>
                  </m:r>
                </m:sup>
              </m:sSubSup>
            </m:oMath>
            <w:r w:rsidR="00C00A5A" w:rsidRPr="00C00A5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)</w:t>
            </w:r>
            <w:r w:rsidR="00B761DA" w:rsidRPr="00C00A5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, руб</w:t>
            </w:r>
            <w:r w:rsidR="00B761DA" w:rsidRPr="00B761DA">
              <w:rPr>
                <w:rFonts w:cs="Arial"/>
                <w:b/>
                <w:bCs/>
                <w:color w:val="000000"/>
                <w:sz w:val="20"/>
                <w:szCs w:val="16"/>
                <w:lang w:val="ru-RU" w:eastAsia="ru-RU"/>
              </w:rPr>
              <w:t>.</w:t>
            </w:r>
          </w:p>
        </w:tc>
      </w:tr>
      <w:tr w:rsidR="006D7E57" w:rsidRPr="003B29FF" w14:paraId="5F051B8F" w14:textId="77777777" w:rsidTr="001960AA">
        <w:trPr>
          <w:trHeight w:val="41"/>
        </w:trPr>
        <w:tc>
          <w:tcPr>
            <w:tcW w:w="34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91041D" w14:textId="77777777" w:rsidR="006D7E57" w:rsidRPr="006D7E57" w:rsidRDefault="006D7E57" w:rsidP="00A4367B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  <w:lang w:val="ru-RU" w:eastAsia="ru-RU"/>
              </w:rPr>
            </w:pPr>
            <w:r w:rsidRPr="006D7E57">
              <w:rPr>
                <w:rFonts w:cs="Arial"/>
                <w:b/>
                <w:bCs/>
                <w:sz w:val="18"/>
                <w:szCs w:val="18"/>
                <w:lang w:val="ru-RU" w:eastAsia="ru-RU"/>
              </w:rPr>
              <w:lastRenderedPageBreak/>
              <w:t xml:space="preserve">  </w:t>
            </w:r>
          </w:p>
        </w:tc>
        <w:tc>
          <w:tcPr>
            <w:tcW w:w="39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57AADE" w14:textId="77777777" w:rsidR="006D7E57" w:rsidRPr="006D7E57" w:rsidRDefault="006D7E57" w:rsidP="00A4367B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  <w:lang w:val="ru-RU" w:eastAsia="ru-RU"/>
              </w:rPr>
            </w:pPr>
            <w:r w:rsidRPr="006D7E57">
              <w:rPr>
                <w:rFonts w:cs="Arial"/>
                <w:b/>
                <w:bCs/>
                <w:sz w:val="18"/>
                <w:szCs w:val="18"/>
                <w:lang w:val="ru-RU" w:eastAsia="ru-RU"/>
              </w:rPr>
              <w:t xml:space="preserve">   </w:t>
            </w:r>
          </w:p>
        </w:tc>
        <w:tc>
          <w:tcPr>
            <w:tcW w:w="2177" w:type="pct"/>
            <w:tcMar>
              <w:left w:w="28" w:type="dxa"/>
              <w:right w:w="28" w:type="dxa"/>
            </w:tcMar>
          </w:tcPr>
          <w:p w14:paraId="6017AF70" w14:textId="78E0D6C0" w:rsidR="006D7E57" w:rsidRPr="00BA3E65" w:rsidRDefault="006D7E57" w:rsidP="00A4367B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078" w:type="pct"/>
            <w:tcMar>
              <w:left w:w="28" w:type="dxa"/>
              <w:right w:w="28" w:type="dxa"/>
            </w:tcMar>
          </w:tcPr>
          <w:p w14:paraId="07B252E7" w14:textId="6A49939F" w:rsidR="006D7E57" w:rsidRPr="006D7E57" w:rsidRDefault="006D7E57" w:rsidP="00A4367B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6D7E57" w:rsidRPr="003B29FF" w14:paraId="58B7C5CA" w14:textId="77777777" w:rsidTr="001960AA">
        <w:trPr>
          <w:trHeight w:val="41"/>
        </w:trPr>
        <w:tc>
          <w:tcPr>
            <w:tcW w:w="34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3CFF190" w14:textId="77777777" w:rsidR="006D7E57" w:rsidRPr="006D7E57" w:rsidRDefault="006D7E57" w:rsidP="00A4367B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9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72F3A9" w14:textId="77777777" w:rsidR="006D7E57" w:rsidRPr="006D7E57" w:rsidRDefault="006D7E57" w:rsidP="00A4367B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177" w:type="pct"/>
            <w:tcMar>
              <w:left w:w="28" w:type="dxa"/>
              <w:right w:w="28" w:type="dxa"/>
            </w:tcMar>
          </w:tcPr>
          <w:p w14:paraId="3A88DC2B" w14:textId="77777777" w:rsidR="006D7E57" w:rsidRPr="006D7E57" w:rsidRDefault="006D7E57" w:rsidP="00A4367B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078" w:type="pct"/>
            <w:tcMar>
              <w:left w:w="28" w:type="dxa"/>
              <w:right w:w="28" w:type="dxa"/>
            </w:tcMar>
          </w:tcPr>
          <w:p w14:paraId="2F733F2E" w14:textId="77777777" w:rsidR="006D7E57" w:rsidRPr="006D7E57" w:rsidRDefault="006D7E57" w:rsidP="00A4367B">
            <w:pPr>
              <w:spacing w:after="0"/>
              <w:jc w:val="center"/>
              <w:rPr>
                <w:rFonts w:cs="Arial"/>
                <w:b/>
                <w:bCs/>
                <w:sz w:val="18"/>
                <w:szCs w:val="18"/>
                <w:lang w:val="ru-RU" w:eastAsia="ru-RU"/>
              </w:rPr>
            </w:pPr>
          </w:p>
        </w:tc>
      </w:tr>
    </w:tbl>
    <w:p w14:paraId="5AFA203E" w14:textId="77777777" w:rsidR="001960AA" w:rsidRDefault="001960AA" w:rsidP="001960AA">
      <w:pPr>
        <w:spacing w:before="0" w:after="0"/>
        <w:rPr>
          <w:b/>
          <w:iCs/>
          <w:sz w:val="26"/>
          <w:szCs w:val="26"/>
          <w:lang w:val="ru-RU"/>
        </w:rPr>
      </w:pPr>
    </w:p>
    <w:p w14:paraId="2E115847" w14:textId="6806766D" w:rsidR="006D1FFF" w:rsidRPr="00A776FA" w:rsidRDefault="006D1FFF" w:rsidP="001960AA">
      <w:pPr>
        <w:spacing w:before="0" w:after="0"/>
        <w:rPr>
          <w:b/>
          <w:iCs/>
          <w:sz w:val="26"/>
          <w:szCs w:val="26"/>
          <w:lang w:val="ru-RU"/>
        </w:rPr>
      </w:pPr>
      <w:r w:rsidRPr="00A776FA">
        <w:rPr>
          <w:b/>
          <w:iCs/>
          <w:sz w:val="26"/>
          <w:szCs w:val="26"/>
          <w:lang w:val="ru-RU"/>
        </w:rPr>
        <w:t xml:space="preserve">Предложения по изменениям и дополнениям в </w:t>
      </w:r>
      <w:r w:rsidRPr="00A776FA">
        <w:rPr>
          <w:b/>
          <w:bCs/>
          <w:sz w:val="26"/>
          <w:szCs w:val="26"/>
          <w:lang w:val="ru-RU"/>
        </w:rPr>
        <w:t xml:space="preserve">СОГЛАШЕНИЕ </w:t>
      </w:r>
      <w:r w:rsidRPr="00A776FA">
        <w:rPr>
          <w:b/>
          <w:bCs/>
          <w:caps/>
          <w:sz w:val="26"/>
          <w:szCs w:val="26"/>
          <w:lang w:val="ru-RU"/>
        </w:rPr>
        <w:t>о применении электронной подписи в</w:t>
      </w:r>
      <w:r w:rsidRPr="0013586C">
        <w:rPr>
          <w:b/>
          <w:bCs/>
          <w:caps/>
          <w:sz w:val="26"/>
          <w:szCs w:val="26"/>
        </w:rPr>
        <w:t> </w:t>
      </w:r>
      <w:r w:rsidRPr="00A776FA">
        <w:rPr>
          <w:b/>
          <w:bCs/>
          <w:caps/>
          <w:sz w:val="26"/>
          <w:szCs w:val="26"/>
          <w:lang w:val="ru-RU"/>
        </w:rPr>
        <w:t>торговой системе оптового рынка</w:t>
      </w:r>
      <w:r w:rsidRPr="00A776FA">
        <w:rPr>
          <w:b/>
          <w:iCs/>
          <w:sz w:val="26"/>
          <w:szCs w:val="26"/>
          <w:lang w:val="ru-RU"/>
        </w:rPr>
        <w:t xml:space="preserve"> (</w:t>
      </w:r>
      <w:r w:rsidRPr="00A776FA">
        <w:rPr>
          <w:b/>
          <w:bCs/>
          <w:sz w:val="26"/>
          <w:szCs w:val="26"/>
          <w:lang w:val="ru-RU"/>
        </w:rPr>
        <w:t xml:space="preserve">Приложение № Д 7 </w:t>
      </w:r>
      <w:r w:rsidRPr="00A776FA">
        <w:rPr>
          <w:b/>
          <w:sz w:val="26"/>
          <w:szCs w:val="26"/>
          <w:lang w:val="ru-RU"/>
        </w:rPr>
        <w:t>к Договору о присоединении к торговой системе оптового рынка</w:t>
      </w:r>
      <w:r w:rsidRPr="00A776FA">
        <w:rPr>
          <w:b/>
          <w:iCs/>
          <w:sz w:val="26"/>
          <w:szCs w:val="26"/>
          <w:lang w:val="ru-RU"/>
        </w:rPr>
        <w:t>)</w:t>
      </w:r>
    </w:p>
    <w:p w14:paraId="35AE9C5E" w14:textId="77777777" w:rsidR="001960AA" w:rsidRDefault="001960AA" w:rsidP="001960AA">
      <w:pPr>
        <w:spacing w:before="0" w:after="0"/>
        <w:rPr>
          <w:rFonts w:eastAsia="SimSun"/>
          <w:b/>
          <w:iCs/>
          <w:sz w:val="24"/>
          <w:szCs w:val="24"/>
          <w:lang w:val="ru-RU"/>
        </w:rPr>
      </w:pPr>
    </w:p>
    <w:p w14:paraId="6A747495" w14:textId="48B3D2E6" w:rsidR="006D1FFF" w:rsidRDefault="006D1FFF" w:rsidP="001960AA">
      <w:pPr>
        <w:spacing w:before="0" w:after="0"/>
        <w:rPr>
          <w:rFonts w:eastAsia="SimSun"/>
          <w:b/>
          <w:iCs/>
          <w:sz w:val="24"/>
          <w:szCs w:val="24"/>
          <w:lang w:val="ru-RU"/>
        </w:rPr>
      </w:pPr>
      <w:r w:rsidRPr="00A776FA">
        <w:rPr>
          <w:rFonts w:eastAsia="SimSun"/>
          <w:b/>
          <w:iCs/>
          <w:sz w:val="24"/>
          <w:szCs w:val="24"/>
          <w:lang w:val="ru-RU"/>
        </w:rPr>
        <w:t>Добавить строки в приложение 2 к Правилам ЭДО СЭД КО</w:t>
      </w:r>
      <w:r w:rsidR="00182766">
        <w:rPr>
          <w:rFonts w:eastAsia="SimSun"/>
          <w:b/>
          <w:iCs/>
          <w:sz w:val="24"/>
          <w:szCs w:val="24"/>
          <w:lang w:val="ru-RU"/>
        </w:rPr>
        <w:t>:</w:t>
      </w:r>
    </w:p>
    <w:p w14:paraId="139D54BA" w14:textId="77777777" w:rsidR="001960AA" w:rsidRPr="00A776FA" w:rsidRDefault="001960AA" w:rsidP="001960AA">
      <w:pPr>
        <w:spacing w:before="0" w:after="0"/>
        <w:rPr>
          <w:rFonts w:eastAsia="SimSun"/>
          <w:b/>
          <w:iCs/>
          <w:sz w:val="24"/>
          <w:szCs w:val="24"/>
          <w:lang w:val="ru-RU"/>
        </w:rPr>
      </w:pPr>
    </w:p>
    <w:tbl>
      <w:tblPr>
        <w:tblW w:w="5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4111"/>
        <w:gridCol w:w="992"/>
        <w:gridCol w:w="849"/>
        <w:gridCol w:w="683"/>
        <w:gridCol w:w="703"/>
        <w:gridCol w:w="878"/>
        <w:gridCol w:w="968"/>
        <w:gridCol w:w="736"/>
        <w:gridCol w:w="1416"/>
        <w:gridCol w:w="1033"/>
        <w:gridCol w:w="793"/>
        <w:gridCol w:w="824"/>
      </w:tblGrid>
      <w:tr w:rsidR="006D1FFF" w:rsidRPr="003B29FF" w14:paraId="05CD2303" w14:textId="77777777" w:rsidTr="001960AA">
        <w:trPr>
          <w:trHeight w:val="1290"/>
        </w:trPr>
        <w:tc>
          <w:tcPr>
            <w:tcW w:w="1129" w:type="dxa"/>
            <w:shd w:val="clear" w:color="auto" w:fill="D0CECE"/>
            <w:vAlign w:val="center"/>
            <w:hideMark/>
          </w:tcPr>
          <w:p w14:paraId="10A95B56" w14:textId="77777777" w:rsidR="006D1FFF" w:rsidRPr="009E7373" w:rsidRDefault="006D1FFF" w:rsidP="001960AA">
            <w:pPr>
              <w:spacing w:before="0" w:after="0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  <w:t>Код формы</w:t>
            </w:r>
          </w:p>
        </w:tc>
        <w:tc>
          <w:tcPr>
            <w:tcW w:w="4111" w:type="dxa"/>
            <w:shd w:val="clear" w:color="auto" w:fill="D0CECE"/>
            <w:vAlign w:val="center"/>
            <w:hideMark/>
          </w:tcPr>
          <w:p w14:paraId="4C21B899" w14:textId="77777777" w:rsidR="006D1FFF" w:rsidRPr="009E7373" w:rsidRDefault="006D1FFF" w:rsidP="001960AA">
            <w:pPr>
              <w:spacing w:before="0" w:after="0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  <w:t>Наименование формы</w:t>
            </w:r>
          </w:p>
        </w:tc>
        <w:tc>
          <w:tcPr>
            <w:tcW w:w="992" w:type="dxa"/>
            <w:shd w:val="clear" w:color="auto" w:fill="D0CECE"/>
            <w:vAlign w:val="center"/>
            <w:hideMark/>
          </w:tcPr>
          <w:p w14:paraId="44B3B4ED" w14:textId="77777777" w:rsidR="006D1FFF" w:rsidRPr="009E7373" w:rsidRDefault="006D1FFF" w:rsidP="001960AA">
            <w:pPr>
              <w:spacing w:before="0" w:after="0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  <w:t>Основание предоставления</w:t>
            </w:r>
          </w:p>
        </w:tc>
        <w:tc>
          <w:tcPr>
            <w:tcW w:w="849" w:type="dxa"/>
            <w:shd w:val="clear" w:color="auto" w:fill="D0CECE"/>
            <w:vAlign w:val="center"/>
            <w:hideMark/>
          </w:tcPr>
          <w:p w14:paraId="3D30BECA" w14:textId="77777777" w:rsidR="006D1FFF" w:rsidRPr="009E7373" w:rsidRDefault="006D1FFF" w:rsidP="001960AA">
            <w:pPr>
              <w:spacing w:before="0" w:after="0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  <w:t>Формат содержательной части</w:t>
            </w:r>
          </w:p>
        </w:tc>
        <w:tc>
          <w:tcPr>
            <w:tcW w:w="683" w:type="dxa"/>
            <w:shd w:val="clear" w:color="auto" w:fill="D0CECE"/>
            <w:vAlign w:val="center"/>
            <w:hideMark/>
          </w:tcPr>
          <w:p w14:paraId="12142B4B" w14:textId="77777777" w:rsidR="006D1FFF" w:rsidRPr="009E7373" w:rsidRDefault="006D1FFF" w:rsidP="001960AA">
            <w:pPr>
              <w:spacing w:before="0" w:after="0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  <w:t>Отправитель</w:t>
            </w:r>
          </w:p>
        </w:tc>
        <w:tc>
          <w:tcPr>
            <w:tcW w:w="703" w:type="dxa"/>
            <w:shd w:val="clear" w:color="auto" w:fill="D0CECE"/>
            <w:vAlign w:val="center"/>
            <w:hideMark/>
          </w:tcPr>
          <w:p w14:paraId="2ACDA2E8" w14:textId="77777777" w:rsidR="006D1FFF" w:rsidRPr="009E7373" w:rsidRDefault="006D1FFF" w:rsidP="001960AA">
            <w:pPr>
              <w:spacing w:before="0" w:after="0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  <w:t>Получатель</w:t>
            </w:r>
          </w:p>
        </w:tc>
        <w:tc>
          <w:tcPr>
            <w:tcW w:w="878" w:type="dxa"/>
            <w:shd w:val="clear" w:color="auto" w:fill="D0CECE"/>
            <w:vAlign w:val="center"/>
            <w:hideMark/>
          </w:tcPr>
          <w:p w14:paraId="2DEF5CC6" w14:textId="77777777" w:rsidR="006D1FFF" w:rsidRPr="009E7373" w:rsidRDefault="006D1FFF" w:rsidP="001960AA">
            <w:pPr>
              <w:spacing w:before="0" w:after="0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  <w:t>Способ доставки</w:t>
            </w:r>
          </w:p>
        </w:tc>
        <w:tc>
          <w:tcPr>
            <w:tcW w:w="968" w:type="dxa"/>
            <w:shd w:val="clear" w:color="auto" w:fill="D0CECE"/>
            <w:vAlign w:val="center"/>
            <w:hideMark/>
          </w:tcPr>
          <w:p w14:paraId="52C6DE23" w14:textId="77777777" w:rsidR="006D1FFF" w:rsidRPr="009E7373" w:rsidRDefault="006D1FFF" w:rsidP="001960AA">
            <w:pPr>
              <w:spacing w:before="0" w:after="0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  <w:t>Подтверждение получения документом квитанцией</w:t>
            </w:r>
          </w:p>
        </w:tc>
        <w:tc>
          <w:tcPr>
            <w:tcW w:w="736" w:type="dxa"/>
            <w:shd w:val="clear" w:color="auto" w:fill="D0CECE"/>
            <w:vAlign w:val="center"/>
            <w:hideMark/>
          </w:tcPr>
          <w:p w14:paraId="3244C61F" w14:textId="77777777" w:rsidR="006D1FFF" w:rsidRPr="009E7373" w:rsidRDefault="006D1FFF" w:rsidP="001960AA">
            <w:pPr>
              <w:spacing w:before="0" w:after="0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  <w:t>Необходимость шифрования</w:t>
            </w:r>
          </w:p>
        </w:tc>
        <w:tc>
          <w:tcPr>
            <w:tcW w:w="1416" w:type="dxa"/>
            <w:shd w:val="clear" w:color="auto" w:fill="D0CECE"/>
            <w:vAlign w:val="center"/>
            <w:hideMark/>
          </w:tcPr>
          <w:p w14:paraId="13717233" w14:textId="77777777" w:rsidR="006D1FFF" w:rsidRPr="009E7373" w:rsidRDefault="006D1FFF" w:rsidP="001960AA">
            <w:pPr>
              <w:spacing w:before="0" w:after="0"/>
              <w:ind w:left="-68" w:right="-104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033" w:type="dxa"/>
            <w:shd w:val="clear" w:color="auto" w:fill="D0CECE"/>
            <w:vAlign w:val="center"/>
            <w:hideMark/>
          </w:tcPr>
          <w:p w14:paraId="0236C754" w14:textId="77777777" w:rsidR="006D1FFF" w:rsidRPr="009E7373" w:rsidRDefault="006D1FFF" w:rsidP="001960AA">
            <w:pPr>
              <w:spacing w:before="0" w:after="0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  <w:t>ПО для отображения и изготовления бумажных копий</w:t>
            </w:r>
          </w:p>
        </w:tc>
        <w:tc>
          <w:tcPr>
            <w:tcW w:w="793" w:type="dxa"/>
            <w:shd w:val="clear" w:color="auto" w:fill="D0CECE"/>
            <w:vAlign w:val="center"/>
            <w:hideMark/>
          </w:tcPr>
          <w:p w14:paraId="0A8988DB" w14:textId="77777777" w:rsidR="006D1FFF" w:rsidRPr="009E7373" w:rsidRDefault="006D1FFF" w:rsidP="001960AA">
            <w:pPr>
              <w:spacing w:before="0" w:after="0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  <w:t>Срок хранения в архиве</w:t>
            </w:r>
          </w:p>
        </w:tc>
        <w:tc>
          <w:tcPr>
            <w:tcW w:w="824" w:type="dxa"/>
            <w:shd w:val="clear" w:color="auto" w:fill="D0CECE"/>
            <w:vAlign w:val="center"/>
            <w:hideMark/>
          </w:tcPr>
          <w:p w14:paraId="5953FAE6" w14:textId="77777777" w:rsidR="006D1FFF" w:rsidRPr="009E7373" w:rsidRDefault="006D1FFF" w:rsidP="001960AA">
            <w:pPr>
              <w:spacing w:before="0" w:after="0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val="ru-RU" w:eastAsia="ko-KR"/>
              </w:rPr>
              <w:t>Срок доступа через интерфейс сайта</w:t>
            </w:r>
          </w:p>
        </w:tc>
      </w:tr>
      <w:tr w:rsidR="006D1FFF" w:rsidRPr="001960AA" w14:paraId="735EF6C7" w14:textId="77777777" w:rsidTr="001960AA">
        <w:trPr>
          <w:trHeight w:val="815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000" w14:textId="37007FF5" w:rsidR="006D1FFF" w:rsidRPr="001960AA" w:rsidRDefault="0061777E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UPZ_PART_PERECHEN_ANALYTIC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F58A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Аналитический отчет о размере средств, учитываемых в отношении субъекта оптового рынка – производителя электрической энергии (мощности), в отношении которого Правительством Российской Федерации принято решение о применении надбавки в целях частичной компенсации стоимости мощности, поставленной с использованием генерирующих объектов, включенных в перечень генерирующих объектов в неценовых зонах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351D4" w14:textId="71BBC32B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Регламент № 14, п.</w:t>
            </w:r>
            <w:r w:rsidR="009E7373"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 </w:t>
            </w: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15.6.10, приложение 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E952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proofErr w:type="spellStart"/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xls</w:t>
            </w:r>
            <w:proofErr w:type="spellEnd"/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xlsx</w:t>
            </w:r>
            <w:proofErr w:type="spellEnd"/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194DA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АТС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5387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Участник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1DD6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сайт, </w:t>
            </w:r>
            <w:proofErr w:type="spellStart"/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криптораздел</w:t>
            </w:r>
            <w:proofErr w:type="spellEnd"/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 участника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72A3" w14:textId="77777777" w:rsidR="006D1FFF" w:rsidRPr="001960AA" w:rsidRDefault="006D1FFF" w:rsidP="001960AA">
            <w:pPr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Нет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C8D2A" w14:textId="77777777" w:rsidR="006D1FFF" w:rsidRPr="001960AA" w:rsidRDefault="006D1FFF" w:rsidP="001960AA">
            <w:pPr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55B5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1.3.6.1.4.1.18545.1.2.1.7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C53D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Excel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F8FBF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5 лет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8362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5 лет</w:t>
            </w:r>
          </w:p>
        </w:tc>
      </w:tr>
      <w:tr w:rsidR="006D1FFF" w:rsidRPr="001960AA" w14:paraId="7AC7833E" w14:textId="77777777" w:rsidTr="001960AA">
        <w:trPr>
          <w:trHeight w:val="27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E28A1" w14:textId="70F18AB5" w:rsidR="006D1FFF" w:rsidRPr="003B29FF" w:rsidRDefault="0061777E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B29F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FRSRMN_PART_KOM_NADB_REPORT_COMPONENT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778A" w14:textId="71016145" w:rsidR="006D1FFF" w:rsidRPr="001960AA" w:rsidRDefault="00FF0437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Аналитический отчет о составляющих фактической стоимости мощности, обусловленных надбавками к цене на мощность, продаваемую по договорам КОМ (в том числе по договорам КОМ в целях компенсации потерь)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B4CF" w14:textId="4B3B2DA0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Регламент № 16, п</w:t>
            </w:r>
            <w:r w:rsidR="009E7373"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.</w:t>
            </w: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 </w:t>
            </w:r>
            <w:r w:rsidR="00DA5608"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13.1.</w:t>
            </w:r>
            <w:r w:rsidR="00DE42C4"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</w:t>
            </w: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, приложение 154.5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45492" w14:textId="0830A12D" w:rsidR="00DE42C4" w:rsidRPr="001960AA" w:rsidRDefault="00DE42C4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xls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4A0C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АТС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5C24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Участник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1AA3F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сайт, </w:t>
            </w:r>
            <w:proofErr w:type="spellStart"/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криптораздел</w:t>
            </w:r>
            <w:proofErr w:type="spellEnd"/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 участника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CEC35" w14:textId="77777777" w:rsidR="006D1FFF" w:rsidRPr="001960AA" w:rsidRDefault="006D1FFF" w:rsidP="001960AA">
            <w:pPr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Нет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E855F" w14:textId="77777777" w:rsidR="006D1FFF" w:rsidRPr="001960AA" w:rsidRDefault="006D1FFF" w:rsidP="001960AA">
            <w:pPr>
              <w:spacing w:before="0" w:after="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585E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1.3.6.1.4.1.18545.1.2.1.7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D33B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Excel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6A68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5 лет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7E7E2" w14:textId="77777777" w:rsidR="006D1FFF" w:rsidRPr="001960AA" w:rsidRDefault="006D1FFF" w:rsidP="001960AA">
            <w:pPr>
              <w:spacing w:before="0" w:after="0"/>
              <w:contextualSpacing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1960AA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5 лет</w:t>
            </w:r>
          </w:p>
        </w:tc>
      </w:tr>
    </w:tbl>
    <w:p w14:paraId="40A4FB37" w14:textId="77777777" w:rsidR="00167D16" w:rsidRPr="006D7E57" w:rsidRDefault="00167D16">
      <w:pPr>
        <w:spacing w:before="0" w:after="160" w:line="259" w:lineRule="auto"/>
        <w:rPr>
          <w:lang w:val="ru-RU"/>
        </w:rPr>
      </w:pPr>
    </w:p>
    <w:sectPr w:rsidR="00167D16" w:rsidRPr="006D7E57" w:rsidSect="003E2E2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0BFC0376"/>
    <w:lvl w:ilvl="0">
      <w:start w:val="4"/>
      <w:numFmt w:val="none"/>
      <w:pStyle w:val="2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180"/>
        </w:tabs>
        <w:ind w:left="180" w:firstLine="0"/>
      </w:pPr>
      <w:rPr>
        <w:rFonts w:cs="Times New Roman" w:hint="default"/>
      </w:rPr>
    </w:lvl>
    <w:lvl w:ilvl="2">
      <w:start w:val="4"/>
      <w:numFmt w:val="decimal"/>
      <w:lvlText w:val="4.%3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3.2.%4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" w15:restartNumberingAfterBreak="0">
    <w:nsid w:val="589B7926"/>
    <w:multiLevelType w:val="multilevel"/>
    <w:tmpl w:val="9B84C6E0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ED8"/>
    <w:rsid w:val="000113C1"/>
    <w:rsid w:val="00027A6A"/>
    <w:rsid w:val="000C29CE"/>
    <w:rsid w:val="000C4ECB"/>
    <w:rsid w:val="00167D16"/>
    <w:rsid w:val="00182766"/>
    <w:rsid w:val="001960AA"/>
    <w:rsid w:val="001D3C53"/>
    <w:rsid w:val="002C6741"/>
    <w:rsid w:val="00353C64"/>
    <w:rsid w:val="003570A8"/>
    <w:rsid w:val="00381FC0"/>
    <w:rsid w:val="003B29FF"/>
    <w:rsid w:val="003C5157"/>
    <w:rsid w:val="003E2E20"/>
    <w:rsid w:val="00415DC8"/>
    <w:rsid w:val="00415F74"/>
    <w:rsid w:val="00430BBE"/>
    <w:rsid w:val="00440A03"/>
    <w:rsid w:val="0046761E"/>
    <w:rsid w:val="0048537E"/>
    <w:rsid w:val="0051055F"/>
    <w:rsid w:val="00517A81"/>
    <w:rsid w:val="005A03F6"/>
    <w:rsid w:val="005C3C16"/>
    <w:rsid w:val="005C695D"/>
    <w:rsid w:val="00603890"/>
    <w:rsid w:val="00606A10"/>
    <w:rsid w:val="0061777E"/>
    <w:rsid w:val="00670878"/>
    <w:rsid w:val="00697ED8"/>
    <w:rsid w:val="006D1FFF"/>
    <w:rsid w:val="006D7E57"/>
    <w:rsid w:val="006E4B14"/>
    <w:rsid w:val="006E777C"/>
    <w:rsid w:val="007466A9"/>
    <w:rsid w:val="007F668F"/>
    <w:rsid w:val="008044A3"/>
    <w:rsid w:val="00826F72"/>
    <w:rsid w:val="00882190"/>
    <w:rsid w:val="00894F0D"/>
    <w:rsid w:val="008E6D86"/>
    <w:rsid w:val="008F739F"/>
    <w:rsid w:val="009E00A0"/>
    <w:rsid w:val="009E7373"/>
    <w:rsid w:val="00A32936"/>
    <w:rsid w:val="00A4367B"/>
    <w:rsid w:val="00B761DA"/>
    <w:rsid w:val="00BA3E65"/>
    <w:rsid w:val="00BC26EB"/>
    <w:rsid w:val="00BD1F30"/>
    <w:rsid w:val="00C00A5A"/>
    <w:rsid w:val="00C50150"/>
    <w:rsid w:val="00C50C86"/>
    <w:rsid w:val="00CC5752"/>
    <w:rsid w:val="00CC7692"/>
    <w:rsid w:val="00D310BF"/>
    <w:rsid w:val="00D35CD0"/>
    <w:rsid w:val="00DA5608"/>
    <w:rsid w:val="00DE42C4"/>
    <w:rsid w:val="00E221E9"/>
    <w:rsid w:val="00E3342F"/>
    <w:rsid w:val="00E73FE6"/>
    <w:rsid w:val="00E864F1"/>
    <w:rsid w:val="00EA22C6"/>
    <w:rsid w:val="00EA4A9D"/>
    <w:rsid w:val="00EB294A"/>
    <w:rsid w:val="00EC0521"/>
    <w:rsid w:val="00F345C1"/>
    <w:rsid w:val="00F70857"/>
    <w:rsid w:val="00FA6D2A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1E4CA576"/>
  <w15:chartTrackingRefBased/>
  <w15:docId w15:val="{8B1755AA-9305-43D6-A4A7-B7420234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ED8"/>
    <w:pPr>
      <w:spacing w:before="180" w:after="6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styleId="1">
    <w:name w:val="heading 1"/>
    <w:aliases w:val="Заголовок параграфа (1.),Section,level2 hdg,111"/>
    <w:basedOn w:val="a"/>
    <w:link w:val="10"/>
    <w:autoRedefine/>
    <w:qFormat/>
    <w:rsid w:val="00440A03"/>
    <w:pPr>
      <w:keepNext/>
      <w:numPr>
        <w:numId w:val="1"/>
      </w:numPr>
      <w:spacing w:before="240" w:after="120"/>
      <w:jc w:val="center"/>
      <w:outlineLvl w:val="0"/>
    </w:pPr>
    <w:rPr>
      <w:rFonts w:cs="Garamond"/>
      <w:b/>
      <w:caps/>
      <w:color w:val="000000"/>
      <w:kern w:val="28"/>
      <w:szCs w:val="22"/>
      <w:lang w:val="ru-RU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6E77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rsid w:val="00440A03"/>
    <w:pPr>
      <w:widowControl w:val="0"/>
      <w:numPr>
        <w:ilvl w:val="1"/>
        <w:numId w:val="1"/>
      </w:numPr>
      <w:spacing w:before="120" w:after="120"/>
      <w:outlineLvl w:val="2"/>
    </w:pPr>
    <w:rPr>
      <w:b/>
      <w:color w:val="000000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697ED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167D1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603890"/>
    <w:rPr>
      <w:color w:val="808080"/>
    </w:rPr>
  </w:style>
  <w:style w:type="character" w:styleId="a5">
    <w:name w:val="annotation reference"/>
    <w:basedOn w:val="a0"/>
    <w:uiPriority w:val="99"/>
    <w:semiHidden/>
    <w:unhideWhenUsed/>
    <w:rsid w:val="0046761E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46761E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46761E"/>
    <w:rPr>
      <w:rFonts w:ascii="Garamond" w:eastAsia="Times New Roman" w:hAnsi="Garamond" w:cs="Times New Roman"/>
      <w:sz w:val="20"/>
      <w:szCs w:val="20"/>
      <w:lang w:val="en-GB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6761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6761E"/>
    <w:rPr>
      <w:rFonts w:ascii="Garamond" w:eastAsia="Times New Roman" w:hAnsi="Garamond" w:cs="Times New Roman"/>
      <w:b/>
      <w:bCs/>
      <w:sz w:val="20"/>
      <w:szCs w:val="20"/>
      <w:lang w:val="en-GB"/>
    </w:rPr>
  </w:style>
  <w:style w:type="paragraph" w:styleId="aa">
    <w:name w:val="Balloon Text"/>
    <w:basedOn w:val="a"/>
    <w:link w:val="ab"/>
    <w:uiPriority w:val="99"/>
    <w:semiHidden/>
    <w:unhideWhenUsed/>
    <w:rsid w:val="0046761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761E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0"/>
    <w:link w:val="1"/>
    <w:rsid w:val="00440A03"/>
    <w:rPr>
      <w:rFonts w:ascii="Garamond" w:eastAsia="Times New Roman" w:hAnsi="Garamond" w:cs="Garamond"/>
      <w:b/>
      <w:caps/>
      <w:color w:val="000000"/>
      <w:kern w:val="28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440A03"/>
    <w:rPr>
      <w:rFonts w:ascii="Garamond" w:eastAsia="Times New Roman" w:hAnsi="Garamond" w:cs="Times New Roman"/>
      <w:b/>
      <w:color w:val="000000"/>
    </w:rPr>
  </w:style>
  <w:style w:type="paragraph" w:customStyle="1" w:styleId="ac">
    <w:name w:val="Обычный текст"/>
    <w:basedOn w:val="a"/>
    <w:link w:val="ad"/>
    <w:uiPriority w:val="99"/>
    <w:rsid w:val="00440A03"/>
    <w:pPr>
      <w:spacing w:before="0" w:after="0"/>
      <w:ind w:firstLine="425"/>
    </w:pPr>
    <w:rPr>
      <w:rFonts w:ascii="Times New Roman" w:eastAsia="Arial Unicode MS" w:hAnsi="Times New Roman"/>
      <w:sz w:val="24"/>
      <w:szCs w:val="24"/>
      <w:lang w:val="ru-RU" w:eastAsia="ru-RU"/>
    </w:rPr>
  </w:style>
  <w:style w:type="character" w:customStyle="1" w:styleId="ad">
    <w:name w:val="Обычный текст Знак"/>
    <w:link w:val="ac"/>
    <w:uiPriority w:val="99"/>
    <w:rsid w:val="00440A03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6E777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2">
    <w:name w:val="List Number 2"/>
    <w:basedOn w:val="a"/>
    <w:rsid w:val="000C29CE"/>
    <w:pPr>
      <w:keepNext/>
      <w:keepLines/>
      <w:numPr>
        <w:numId w:val="2"/>
      </w:numPr>
      <w:tabs>
        <w:tab w:val="left" w:pos="1260"/>
      </w:tabs>
      <w:spacing w:before="120" w:after="0"/>
      <w:jc w:val="both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AAD9E3DCF65C33F0AFC7AE155664054FAC8F8AF4DEF856593136656B6C247093C559BA5CFC04AEDD3757D7A0DD2380E34A6D94289271DCE32N6I" TargetMode="External"/><Relationship Id="rId11" Type="http://schemas.openxmlformats.org/officeDocument/2006/relationships/image" Target="media/image3.wmf"/><Relationship Id="rId24" Type="http://schemas.openxmlformats.org/officeDocument/2006/relationships/oleObject" Target="embeddings/oleObject12.bin"/><Relationship Id="rId5" Type="http://schemas.openxmlformats.org/officeDocument/2006/relationships/hyperlink" Target="consultantplus://offline/ref=5AAD9E3DCF65C33F0AFC7AE155664054FAC8F8AF4DEF856593136656B6C247093C559BA5CFC04AEDD3757D7A0DD2380E34A6D94289271DCE32N6I" TargetMode="External"/><Relationship Id="rId15" Type="http://schemas.openxmlformats.org/officeDocument/2006/relationships/image" Target="media/image5.wmf"/><Relationship Id="rId23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4181</Words>
  <Characters>23832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РусГидро</Company>
  <LinksUpToDate>false</LinksUpToDate>
  <CharactersWithSpaces>27958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Рябышкин Андрей Владимирович</dc:creator>
  <cp:keywords/>
  <dc:description/>
  <cp:lastModifiedBy>Гирина Марина Владимировна</cp:lastModifiedBy>
  <cp:revision>9</cp:revision>
  <dcterms:created xsi:type="dcterms:W3CDTF">2024-03-22T09:37:00Z</dcterms:created>
  <dcterms:modified xsi:type="dcterms:W3CDTF">2024-03-27T10:48:00Z</dcterms:modified>
</cp:coreProperties>
</file>