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D2D1" w14:textId="058EE697" w:rsidR="00DC2517" w:rsidRPr="00DC2517" w:rsidRDefault="00DC2517" w:rsidP="00DC2517">
      <w:pPr>
        <w:suppressAutoHyphens/>
        <w:rPr>
          <w:rFonts w:ascii="Garamond" w:hAnsi="Garamond"/>
          <w:b/>
          <w:bCs/>
          <w:sz w:val="28"/>
          <w:szCs w:val="28"/>
        </w:rPr>
      </w:pPr>
      <w:r w:rsidRPr="00427A40">
        <w:rPr>
          <w:rFonts w:ascii="Garamond" w:hAnsi="Garamond"/>
          <w:b/>
          <w:bCs/>
          <w:sz w:val="28"/>
          <w:szCs w:val="28"/>
          <w:lang w:val="en-US"/>
        </w:rPr>
        <w:t>I</w:t>
      </w:r>
      <w:r w:rsidRPr="00427A40">
        <w:rPr>
          <w:rFonts w:ascii="Garamond" w:hAnsi="Garamond"/>
          <w:b/>
          <w:bCs/>
          <w:sz w:val="28"/>
          <w:szCs w:val="28"/>
        </w:rPr>
        <w:t>.</w:t>
      </w:r>
      <w:r w:rsidR="00E160EB">
        <w:rPr>
          <w:rFonts w:ascii="Garamond" w:hAnsi="Garamond"/>
          <w:b/>
          <w:bCs/>
          <w:sz w:val="28"/>
          <w:szCs w:val="28"/>
        </w:rPr>
        <w:t>1</w:t>
      </w:r>
      <w:r w:rsidR="005D78CC">
        <w:rPr>
          <w:rFonts w:ascii="Garamond" w:hAnsi="Garamond"/>
          <w:b/>
          <w:bCs/>
          <w:sz w:val="28"/>
          <w:szCs w:val="28"/>
        </w:rPr>
        <w:t>.</w:t>
      </w:r>
      <w:r w:rsidRPr="00427A40">
        <w:rPr>
          <w:rFonts w:ascii="Garamond" w:hAnsi="Garamond"/>
          <w:b/>
          <w:bCs/>
          <w:sz w:val="28"/>
          <w:szCs w:val="28"/>
        </w:rPr>
        <w:t xml:space="preserve"> </w:t>
      </w:r>
      <w:r w:rsidR="000A0BB7" w:rsidRPr="00427A40">
        <w:rPr>
          <w:rFonts w:ascii="Garamond" w:hAnsi="Garamond"/>
          <w:b/>
          <w:bCs/>
          <w:sz w:val="28"/>
          <w:szCs w:val="28"/>
        </w:rPr>
        <w:t>Изменения, связанные с порядком заключения регулируемых договоров</w:t>
      </w:r>
      <w:r w:rsidR="00342B51" w:rsidRPr="00427A40">
        <w:rPr>
          <w:rFonts w:ascii="Garamond" w:hAnsi="Garamond"/>
          <w:b/>
          <w:bCs/>
          <w:sz w:val="28"/>
          <w:szCs w:val="28"/>
        </w:rPr>
        <w:t xml:space="preserve"> и формирования схемы прикрепления по регулируемым договорам</w:t>
      </w:r>
      <w:r w:rsidR="000A0BB7" w:rsidRPr="00427A40">
        <w:rPr>
          <w:rFonts w:ascii="Garamond" w:hAnsi="Garamond"/>
          <w:b/>
          <w:bCs/>
          <w:sz w:val="28"/>
          <w:szCs w:val="28"/>
        </w:rPr>
        <w:t xml:space="preserve"> </w:t>
      </w:r>
      <w:r w:rsidRPr="00427A40">
        <w:rPr>
          <w:rFonts w:ascii="Garamond" w:hAnsi="Garamond"/>
          <w:b/>
          <w:bCs/>
          <w:sz w:val="28"/>
          <w:szCs w:val="28"/>
        </w:rPr>
        <w:t>при отнесении неценовых зон Дальнего Востока, Архангельской области, Республики Коми к ценовым зонам оптового рынка</w:t>
      </w:r>
    </w:p>
    <w:p w14:paraId="4634868C" w14:textId="77777777" w:rsidR="000A0BB7" w:rsidRPr="000A0BB7" w:rsidRDefault="000A0BB7" w:rsidP="000A0BB7">
      <w:pPr>
        <w:widowControl w:val="0"/>
        <w:tabs>
          <w:tab w:val="left" w:pos="1134"/>
        </w:tabs>
        <w:ind w:right="23"/>
        <w:jc w:val="both"/>
        <w:rPr>
          <w:rFonts w:ascii="Garamond" w:hAnsi="Garamond"/>
          <w:b/>
          <w:bCs/>
          <w:sz w:val="28"/>
          <w:szCs w:val="28"/>
        </w:rPr>
      </w:pPr>
    </w:p>
    <w:p w14:paraId="681A94E7" w14:textId="3439AB3C" w:rsidR="00DD592F" w:rsidRPr="00192805" w:rsidRDefault="00DD592F" w:rsidP="00192805">
      <w:pPr>
        <w:ind w:right="-314"/>
        <w:jc w:val="right"/>
        <w:rPr>
          <w:rFonts w:ascii="Garamond" w:hAnsi="Garamond"/>
          <w:b/>
          <w:bCs/>
          <w:sz w:val="28"/>
          <w:szCs w:val="28"/>
        </w:rPr>
      </w:pPr>
      <w:r w:rsidRPr="00192805">
        <w:rPr>
          <w:rFonts w:ascii="Garamond" w:hAnsi="Garamond"/>
          <w:b/>
          <w:bCs/>
          <w:sz w:val="28"/>
          <w:szCs w:val="28"/>
        </w:rPr>
        <w:t>Приложение №</w:t>
      </w:r>
      <w:r w:rsidR="00DC2517" w:rsidRPr="00192805">
        <w:rPr>
          <w:rFonts w:ascii="Garamond" w:hAnsi="Garamond"/>
          <w:b/>
          <w:bCs/>
          <w:sz w:val="28"/>
          <w:szCs w:val="28"/>
          <w:lang w:val="en-US"/>
        </w:rPr>
        <w:t xml:space="preserve"> 1.</w:t>
      </w:r>
      <w:r w:rsidR="00E160EB">
        <w:rPr>
          <w:rFonts w:ascii="Garamond" w:hAnsi="Garamond"/>
          <w:b/>
          <w:bCs/>
          <w:sz w:val="28"/>
          <w:szCs w:val="28"/>
        </w:rPr>
        <w:t>1</w:t>
      </w:r>
    </w:p>
    <w:p w14:paraId="5ECF5F45" w14:textId="77777777" w:rsidR="00DD592F" w:rsidRPr="00EC2072" w:rsidRDefault="00DD592F" w:rsidP="00DD592F">
      <w:pPr>
        <w:rPr>
          <w:rFonts w:ascii="Garamond" w:hAnsi="Garamond"/>
          <w:b/>
          <w:bCs/>
          <w:sz w:val="26"/>
          <w:szCs w:val="2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021"/>
      </w:tblGrid>
      <w:tr w:rsidR="00DD592F" w14:paraId="379DEAFC" w14:textId="77777777" w:rsidTr="00D6340B">
        <w:tc>
          <w:tcPr>
            <w:tcW w:w="15021" w:type="dxa"/>
          </w:tcPr>
          <w:p w14:paraId="5486D5D9" w14:textId="77777777" w:rsidR="00DD592F" w:rsidRDefault="00DD592F" w:rsidP="008D3388">
            <w:pPr>
              <w:widowControl w:val="0"/>
              <w:tabs>
                <w:tab w:val="left" w:pos="0"/>
                <w:tab w:val="left" w:pos="3420"/>
              </w:tabs>
              <w:rPr>
                <w:rFonts w:ascii="Garamond" w:hAnsi="Garamond" w:cs="Garamond"/>
                <w:bCs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53C6C25E" w14:textId="77777777" w:rsidR="00CD1877" w:rsidRPr="00342B51" w:rsidRDefault="00CD1877" w:rsidP="00342B51">
            <w:pPr>
              <w:widowControl w:val="0"/>
              <w:tabs>
                <w:tab w:val="left" w:pos="1134"/>
              </w:tabs>
              <w:ind w:right="23"/>
              <w:jc w:val="both"/>
              <w:rPr>
                <w:rFonts w:ascii="Garamond" w:hAnsi="Garamond"/>
                <w:bCs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r w:rsidRPr="00FE328F">
              <w:rPr>
                <w:rFonts w:ascii="Garamond" w:hAnsi="Garamond"/>
                <w:bCs/>
                <w:szCs w:val="20"/>
              </w:rPr>
              <w:t>н</w:t>
            </w:r>
            <w:r w:rsidRPr="004C089C">
              <w:rPr>
                <w:rFonts w:ascii="Garamond" w:hAnsi="Garamond"/>
                <w:bCs/>
                <w:szCs w:val="20"/>
              </w:rPr>
              <w:t xml:space="preserve">еобходимо </w:t>
            </w:r>
            <w:r>
              <w:rPr>
                <w:rFonts w:ascii="Garamond" w:hAnsi="Garamond"/>
                <w:bCs/>
                <w:szCs w:val="20"/>
              </w:rPr>
              <w:t xml:space="preserve">предусмотреть в регламентах оптового рынка </w:t>
            </w:r>
            <w:r w:rsidR="00342B51">
              <w:rPr>
                <w:rFonts w:ascii="Garamond" w:hAnsi="Garamond"/>
                <w:bCs/>
                <w:szCs w:val="20"/>
              </w:rPr>
              <w:t xml:space="preserve">особенности </w:t>
            </w:r>
            <w:r w:rsidR="00342B51" w:rsidRPr="00342B51">
              <w:rPr>
                <w:rFonts w:ascii="Garamond" w:hAnsi="Garamond"/>
                <w:bCs/>
                <w:szCs w:val="20"/>
              </w:rPr>
              <w:t xml:space="preserve">формирования схемы прикрепления по регулируемым договорам </w:t>
            </w:r>
            <w:r w:rsidR="00342B51">
              <w:rPr>
                <w:rFonts w:ascii="Garamond" w:hAnsi="Garamond"/>
                <w:bCs/>
                <w:szCs w:val="20"/>
              </w:rPr>
              <w:t xml:space="preserve">в случае </w:t>
            </w:r>
            <w:r w:rsidR="00342B51" w:rsidRPr="00342B51">
              <w:rPr>
                <w:rFonts w:ascii="Garamond" w:hAnsi="Garamond"/>
                <w:bCs/>
                <w:szCs w:val="20"/>
              </w:rPr>
              <w:t>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</w:t>
            </w:r>
            <w:r>
              <w:rPr>
                <w:rFonts w:ascii="Garamond" w:hAnsi="Garamond"/>
                <w:bCs/>
                <w:szCs w:val="20"/>
              </w:rPr>
              <w:t>.</w:t>
            </w:r>
          </w:p>
          <w:p w14:paraId="0B1B7681" w14:textId="0D36630A" w:rsidR="00DD592F" w:rsidRDefault="00DD592F" w:rsidP="00C23828">
            <w:pPr>
              <w:rPr>
                <w:rFonts w:ascii="Garamond" w:hAnsi="Garamond"/>
                <w:b/>
                <w:szCs w:val="20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  <w:szCs w:val="20"/>
              </w:rPr>
              <w:t xml:space="preserve">с даты вступления в силу постановления Правительства Российской Федерации </w:t>
            </w:r>
            <w:r w:rsidR="006F35D9" w:rsidRPr="006F35D9">
              <w:rPr>
                <w:rFonts w:ascii="Garamond" w:hAnsi="Garamond"/>
                <w:szCs w:val="20"/>
              </w:rPr>
              <w:t>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</w:t>
            </w:r>
            <w:r>
              <w:rPr>
                <w:rFonts w:ascii="Garamond" w:hAnsi="Garamond"/>
                <w:szCs w:val="20"/>
              </w:rPr>
              <w:t xml:space="preserve"> и действуют по 31 декабря 202</w:t>
            </w:r>
            <w:r w:rsidR="005D78CC">
              <w:rPr>
                <w:rFonts w:ascii="Garamond" w:hAnsi="Garamond"/>
                <w:szCs w:val="20"/>
              </w:rPr>
              <w:t>8</w:t>
            </w:r>
            <w:r>
              <w:rPr>
                <w:rFonts w:ascii="Garamond" w:hAnsi="Garamond"/>
                <w:szCs w:val="20"/>
              </w:rPr>
              <w:t xml:space="preserve"> года (включительно)</w:t>
            </w:r>
            <w:r w:rsidRPr="00C34C87">
              <w:rPr>
                <w:rFonts w:ascii="Garamond" w:hAnsi="Garamond"/>
                <w:szCs w:val="20"/>
              </w:rPr>
              <w:t>.</w:t>
            </w:r>
          </w:p>
        </w:tc>
      </w:tr>
    </w:tbl>
    <w:p w14:paraId="56D34767" w14:textId="77777777" w:rsidR="00D64C0A" w:rsidRPr="005D78CC" w:rsidRDefault="00D64C0A" w:rsidP="00192805">
      <w:pPr>
        <w:pStyle w:val="2"/>
        <w:keepLines/>
        <w:widowControl w:val="0"/>
        <w:numPr>
          <w:ilvl w:val="1"/>
          <w:numId w:val="0"/>
        </w:numPr>
        <w:jc w:val="left"/>
        <w:rPr>
          <w:rFonts w:ascii="Garamond" w:hAnsi="Garamond"/>
          <w:sz w:val="26"/>
          <w:szCs w:val="26"/>
        </w:rPr>
      </w:pPr>
      <w:r w:rsidRPr="009F5518">
        <w:rPr>
          <w:rFonts w:ascii="Garamond" w:eastAsia="Batang" w:hAnsi="Garamond"/>
          <w:bCs/>
          <w:sz w:val="26"/>
          <w:szCs w:val="26"/>
        </w:rPr>
        <w:t>Предложения по изменениям и дополнениям в</w:t>
      </w:r>
      <w:r w:rsidRPr="009F5518">
        <w:rPr>
          <w:rFonts w:ascii="Garamond" w:hAnsi="Garamond"/>
          <w:sz w:val="26"/>
          <w:szCs w:val="26"/>
        </w:rPr>
        <w:t xml:space="preserve"> РЕГЛАМЕНТ </w:t>
      </w:r>
      <w:r w:rsidRPr="009F5518">
        <w:rPr>
          <w:rFonts w:ascii="Garamond" w:hAnsi="Garamond"/>
          <w:caps/>
          <w:sz w:val="26"/>
          <w:szCs w:val="26"/>
        </w:rPr>
        <w:t xml:space="preserve">регистрации регулируемых договоров купли-продажи электроэнергии и мощности </w:t>
      </w:r>
      <w:r w:rsidRPr="009F5518">
        <w:rPr>
          <w:rFonts w:ascii="Garamond" w:hAnsi="Garamond"/>
          <w:sz w:val="26"/>
          <w:szCs w:val="26"/>
        </w:rPr>
        <w:t xml:space="preserve">(Приложение № 6.2 к </w:t>
      </w:r>
      <w:r w:rsidRPr="009F5518">
        <w:rPr>
          <w:rFonts w:ascii="Garamond" w:hAnsi="Garamond"/>
          <w:bCs/>
          <w:sz w:val="26"/>
          <w:szCs w:val="26"/>
        </w:rPr>
        <w:t>Договору о присоединении к торговой системе оптового рынка</w:t>
      </w:r>
      <w:r w:rsidRPr="009F5518">
        <w:rPr>
          <w:rFonts w:ascii="Garamond" w:hAnsi="Garamond"/>
          <w:sz w:val="26"/>
          <w:szCs w:val="26"/>
        </w:rPr>
        <w:t>)</w:t>
      </w: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D64C0A" w:rsidRPr="00781561" w14:paraId="1D44FCD1" w14:textId="77777777" w:rsidTr="00567933">
        <w:tc>
          <w:tcPr>
            <w:tcW w:w="988" w:type="dxa"/>
            <w:vAlign w:val="center"/>
          </w:tcPr>
          <w:p w14:paraId="02671FE0" w14:textId="77777777" w:rsidR="00D64C0A" w:rsidRPr="00781561" w:rsidRDefault="00D64C0A" w:rsidP="00567933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493E859A" w14:textId="77777777" w:rsidR="00D64C0A" w:rsidRPr="00781561" w:rsidRDefault="00D64C0A" w:rsidP="00567933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7E984BBF" w14:textId="77777777" w:rsidR="00D64C0A" w:rsidRDefault="00D64C0A" w:rsidP="00567933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339ED752" w14:textId="77777777" w:rsidR="00D64C0A" w:rsidRPr="00781561" w:rsidRDefault="00D64C0A" w:rsidP="00567933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6FB74538" w14:textId="77777777" w:rsidR="00D64C0A" w:rsidRPr="00781561" w:rsidRDefault="00D64C0A" w:rsidP="00567933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64E76CC7" w14:textId="77777777" w:rsidR="00D64C0A" w:rsidRPr="00781561" w:rsidRDefault="00D64C0A" w:rsidP="00567933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64C0A" w:rsidRPr="003D2FBB" w14:paraId="26CC0DE1" w14:textId="77777777" w:rsidTr="00567933">
        <w:tc>
          <w:tcPr>
            <w:tcW w:w="988" w:type="dxa"/>
            <w:vAlign w:val="center"/>
          </w:tcPr>
          <w:p w14:paraId="7AA38E54" w14:textId="77777777" w:rsidR="00D64C0A" w:rsidRPr="003D2FBB" w:rsidRDefault="00D64C0A" w:rsidP="0056793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6945" w:type="dxa"/>
            <w:vAlign w:val="center"/>
          </w:tcPr>
          <w:p w14:paraId="6F981364" w14:textId="77777777" w:rsidR="00E71F7D" w:rsidRPr="005C6108" w:rsidRDefault="00E71F7D" w:rsidP="00424B9C">
            <w:pPr>
              <w:pStyle w:val="3"/>
              <w:numPr>
                <w:ilvl w:val="0"/>
                <w:numId w:val="0"/>
              </w:numPr>
              <w:tabs>
                <w:tab w:val="left" w:pos="567"/>
              </w:tabs>
              <w:ind w:firstLine="600"/>
              <w:rPr>
                <w:rFonts w:ascii="Garamond" w:hAnsi="Garamond"/>
                <w:b w:val="0"/>
                <w:szCs w:val="22"/>
              </w:rPr>
            </w:pPr>
            <w:bookmarkStart w:id="0" w:name="_Toc351976859"/>
            <w:bookmarkStart w:id="1" w:name="_Toc355022058"/>
            <w:bookmarkStart w:id="2" w:name="_Toc357607860"/>
            <w:bookmarkStart w:id="3" w:name="_Toc372717073"/>
            <w:bookmarkStart w:id="4" w:name="_Toc382922314"/>
            <w:bookmarkStart w:id="5" w:name="_Toc467675915"/>
            <w:bookmarkStart w:id="6" w:name="_Toc533504268"/>
            <w:bookmarkStart w:id="7" w:name="_Toc60074029"/>
            <w:bookmarkStart w:id="8" w:name="_Toc112166434"/>
            <w:bookmarkStart w:id="9" w:name="_Toc138724317"/>
            <w:r w:rsidRPr="005C6108">
              <w:rPr>
                <w:rFonts w:ascii="Garamond" w:hAnsi="Garamond"/>
                <w:b w:val="0"/>
                <w:szCs w:val="22"/>
              </w:rPr>
              <w:t xml:space="preserve">Регулируемые договоры заключаются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 xml:space="preserve">в соответствии с принятыми </w:t>
            </w:r>
            <w:r w:rsidRPr="005C6108">
              <w:rPr>
                <w:rFonts w:ascii="Garamond" w:hAnsi="Garamond" w:cs="Garamond"/>
                <w:b w:val="0"/>
                <w:szCs w:val="22"/>
                <w:lang w:eastAsia="ru-RU"/>
              </w:rPr>
              <w:t xml:space="preserve">федеральным органом исполнительной власти в области государственного регулирования тарифов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 xml:space="preserve">решениями об определении при формировании сводного прогнозного баланса производства и поставок электрической энергии и (или) мощности в рамках ЕЭС России по субъектам Российской Федерации </w:t>
            </w:r>
            <w:r w:rsidRPr="005C6108">
              <w:rPr>
                <w:rFonts w:ascii="Garamond" w:hAnsi="Garamond" w:cs="Garamond"/>
                <w:b w:val="0"/>
                <w:szCs w:val="22"/>
                <w:lang w:eastAsia="ru-RU"/>
              </w:rPr>
              <w:t xml:space="preserve">(далее – </w:t>
            </w:r>
            <w:r w:rsidRPr="005C6108">
              <w:rPr>
                <w:rFonts w:ascii="Garamond" w:hAnsi="Garamond"/>
                <w:b w:val="0"/>
                <w:bCs/>
                <w:iCs/>
                <w:szCs w:val="22"/>
              </w:rPr>
              <w:t>Сводный прогнозный баланс)</w:t>
            </w:r>
            <w:r w:rsidRPr="005C6108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>прогнозных объемов продажи (покупки) электрической энергии и (или) мощности по регулируемым ценам (тарифам) в зарегистрированных в соответствии с Правилами оптового рынка группах точек поставки</w:t>
            </w:r>
            <w:r w:rsidRPr="005C6108">
              <w:rPr>
                <w:rFonts w:ascii="Garamond" w:hAnsi="Garamond"/>
                <w:b w:val="0"/>
                <w:szCs w:val="22"/>
              </w:rPr>
              <w:t xml:space="preserve"> следующими участниками оптового рынка, функционирующими в ценовых зонах оптового рынка: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5C6108">
              <w:rPr>
                <w:rFonts w:ascii="Garamond" w:hAnsi="Garamond"/>
                <w:b w:val="0"/>
                <w:szCs w:val="22"/>
              </w:rPr>
              <w:t xml:space="preserve">  </w:t>
            </w:r>
          </w:p>
          <w:p w14:paraId="382CCC4E" w14:textId="77777777" w:rsidR="00E71F7D" w:rsidRPr="005C6108" w:rsidRDefault="00E71F7D" w:rsidP="00E71F7D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bookmarkStart w:id="10" w:name="_Toc278386629"/>
            <w:bookmarkStart w:id="11" w:name="_Toc278386846"/>
            <w:bookmarkStart w:id="12" w:name="_Toc278387907"/>
            <w:bookmarkStart w:id="13" w:name="_Toc280022652"/>
            <w:bookmarkStart w:id="14" w:name="_Toc286916302"/>
            <w:bookmarkStart w:id="15" w:name="_Toc311213583"/>
            <w:bookmarkStart w:id="16" w:name="_Toc351976867"/>
            <w:bookmarkStart w:id="17" w:name="_Toc355022066"/>
            <w:bookmarkStart w:id="18" w:name="_Toc357607868"/>
            <w:bookmarkStart w:id="19" w:name="_Toc372717081"/>
            <w:bookmarkStart w:id="20" w:name="_Toc382922322"/>
            <w:bookmarkStart w:id="21" w:name="_Toc467675916"/>
            <w:bookmarkStart w:id="22" w:name="_Toc533504269"/>
            <w:bookmarkStart w:id="23" w:name="_Toc60074030"/>
            <w:bookmarkStart w:id="24" w:name="_Toc112166435"/>
            <w:bookmarkStart w:id="25" w:name="_Toc138724318"/>
            <w:r w:rsidRPr="005C6108">
              <w:rPr>
                <w:rFonts w:ascii="Garamond" w:hAnsi="Garamond"/>
                <w:b w:val="0"/>
                <w:szCs w:val="22"/>
              </w:rPr>
              <w:t>гарантирующими поставщиками (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энергоснабжающими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,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энергосбытовыми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организациями, к числу покупателей которых относится население и (или) приравненные к нему категории потребителей)</w:t>
            </w:r>
            <w:bookmarkEnd w:id="10"/>
            <w:bookmarkEnd w:id="11"/>
            <w:bookmarkEnd w:id="12"/>
            <w:r w:rsidRPr="005C6108">
              <w:rPr>
                <w:rFonts w:ascii="Garamond" w:hAnsi="Garamond"/>
                <w:b w:val="0"/>
                <w:szCs w:val="22"/>
              </w:rPr>
              <w:t>;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 w:rsidRPr="005C6108">
              <w:rPr>
                <w:rFonts w:ascii="Garamond" w:hAnsi="Garamond"/>
                <w:b w:val="0"/>
                <w:szCs w:val="22"/>
              </w:rPr>
              <w:t xml:space="preserve"> </w:t>
            </w:r>
          </w:p>
          <w:p w14:paraId="29A6923F" w14:textId="77777777" w:rsidR="00E71F7D" w:rsidRPr="005C6108" w:rsidRDefault="00E71F7D" w:rsidP="00E71F7D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bookmarkStart w:id="26" w:name="_Toc278386630"/>
            <w:bookmarkStart w:id="27" w:name="_Toc278386847"/>
            <w:bookmarkStart w:id="28" w:name="_Toc278387908"/>
            <w:bookmarkStart w:id="29" w:name="_Toc280022653"/>
            <w:bookmarkStart w:id="30" w:name="_Toc286916303"/>
            <w:bookmarkStart w:id="31" w:name="_Toc311213584"/>
            <w:bookmarkStart w:id="32" w:name="_Toc351976868"/>
            <w:bookmarkStart w:id="33" w:name="_Toc355022067"/>
            <w:bookmarkStart w:id="34" w:name="_Toc357607869"/>
            <w:bookmarkStart w:id="35" w:name="_Toc372717082"/>
            <w:bookmarkStart w:id="36" w:name="_Toc382922323"/>
            <w:bookmarkStart w:id="37" w:name="_Toc467675917"/>
            <w:bookmarkStart w:id="38" w:name="_Toc533504270"/>
            <w:bookmarkStart w:id="39" w:name="_Toc60074031"/>
            <w:bookmarkStart w:id="40" w:name="_Toc112166436"/>
            <w:bookmarkStart w:id="41" w:name="_Toc138724319"/>
            <w:r w:rsidRPr="005C6108">
              <w:rPr>
                <w:rFonts w:ascii="Garamond" w:hAnsi="Garamond"/>
                <w:b w:val="0"/>
                <w:szCs w:val="22"/>
              </w:rPr>
              <w:lastRenderedPageBreak/>
              <w:t xml:space="preserve">гарантирующими поставщиками,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энергосбытовыми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и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энергоснабжающими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организациями – участниками оптового рынка, функционирующими в отдельных частях ценовых зон оптового рынка, а также организациями – участниками оптового рынка, осуществляющими экспортно-импортные операции в части покупки электрической энергии и мощности на территории Республики Северная Осетия – Алания, для которых Правительством Российской Федерации установлены особенности функционирования оптового и розничных рынков, определенными в п. 5 приложения 3 к настоящему Регламенту (далее по тексту настоящего Регламента – покупатели, функционирующие в отдельных частях ценовых зон).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r w:rsidRPr="005C6108">
              <w:rPr>
                <w:rFonts w:ascii="Garamond" w:hAnsi="Garamond"/>
                <w:b w:val="0"/>
                <w:szCs w:val="22"/>
              </w:rPr>
              <w:t xml:space="preserve"> </w:t>
            </w:r>
          </w:p>
          <w:p w14:paraId="7645406B" w14:textId="77777777" w:rsidR="00E71F7D" w:rsidRPr="005C6108" w:rsidRDefault="00E71F7D" w:rsidP="00E71F7D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bookmarkStart w:id="42" w:name="_Toc467675918"/>
            <w:bookmarkStart w:id="43" w:name="_Toc533504271"/>
            <w:bookmarkStart w:id="44" w:name="_Toc60074032"/>
            <w:bookmarkStart w:id="45" w:name="_Toc112166437"/>
            <w:bookmarkStart w:id="46" w:name="_Toc138724320"/>
            <w:r w:rsidRPr="005C6108">
              <w:rPr>
                <w:rFonts w:ascii="Garamond" w:hAnsi="Garamond"/>
                <w:b w:val="0"/>
                <w:szCs w:val="22"/>
              </w:rPr>
              <w:t>производителями электрической энергии и мощности, владеющими на праве собственности или ином законном основании генерирующими объектами, отнесенными на 1 октября года, предшествующего году, в котором предполагается поставка по регулируемым договорам, к группам точек поставки, в отношении которых получено право участия в торговле электрической энергией или электрической энергией и мощностью.</w:t>
            </w:r>
            <w:bookmarkEnd w:id="42"/>
            <w:bookmarkEnd w:id="43"/>
            <w:bookmarkEnd w:id="44"/>
            <w:bookmarkEnd w:id="45"/>
            <w:bookmarkEnd w:id="46"/>
          </w:p>
          <w:p w14:paraId="59C5384A" w14:textId="77777777" w:rsidR="00E71F7D" w:rsidRPr="005C6108" w:rsidRDefault="00E71F7D" w:rsidP="00E71F7D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bookmarkStart w:id="47" w:name="_Toc467675919"/>
            <w:bookmarkStart w:id="48" w:name="_Toc533504272"/>
            <w:bookmarkStart w:id="49" w:name="_Toc60074033"/>
            <w:bookmarkStart w:id="50" w:name="_Toc112166438"/>
            <w:bookmarkStart w:id="51" w:name="_Toc138724321"/>
            <w:r w:rsidRPr="005C6108">
              <w:rPr>
                <w:rFonts w:ascii="Garamond" w:hAnsi="Garamond"/>
                <w:b w:val="0"/>
                <w:szCs w:val="22"/>
              </w:rPr>
              <w:t>При этом в отношении следующих генерирующих объектов:</w:t>
            </w:r>
            <w:bookmarkEnd w:id="47"/>
            <w:bookmarkEnd w:id="48"/>
            <w:bookmarkEnd w:id="49"/>
            <w:bookmarkEnd w:id="50"/>
            <w:bookmarkEnd w:id="51"/>
          </w:p>
          <w:p w14:paraId="7E0D4C9D" w14:textId="77777777" w:rsidR="00E71F7D" w:rsidRPr="005C6108" w:rsidRDefault="00E71F7D" w:rsidP="00E71F7D">
            <w:pPr>
              <w:pStyle w:val="3"/>
              <w:keepNext/>
              <w:numPr>
                <w:ilvl w:val="0"/>
                <w:numId w:val="7"/>
              </w:numPr>
              <w:tabs>
                <w:tab w:val="num" w:pos="1146"/>
              </w:tabs>
              <w:ind w:left="1146"/>
              <w:rPr>
                <w:rFonts w:ascii="Garamond" w:hAnsi="Garamond"/>
                <w:szCs w:val="22"/>
              </w:rPr>
            </w:pPr>
            <w:bookmarkStart w:id="52" w:name="_Toc467675920"/>
            <w:bookmarkStart w:id="53" w:name="_Toc533504273"/>
            <w:bookmarkStart w:id="54" w:name="_Toc60074034"/>
            <w:bookmarkStart w:id="55" w:name="_Toc112166439"/>
            <w:bookmarkStart w:id="56" w:name="_Toc138724322"/>
            <w:r w:rsidRPr="005C6108">
              <w:rPr>
                <w:rFonts w:ascii="Garamond" w:hAnsi="Garamond"/>
                <w:b w:val="0"/>
                <w:szCs w:val="22"/>
              </w:rPr>
              <w:t>генерирующих объектов, мощность которых отобрана по результатам конкурентного отбора мощности на календарный год, в котором предполагается поставка по регулируемым договорам;</w:t>
            </w:r>
            <w:bookmarkEnd w:id="52"/>
            <w:bookmarkEnd w:id="53"/>
            <w:bookmarkEnd w:id="54"/>
            <w:bookmarkEnd w:id="55"/>
            <w:bookmarkEnd w:id="56"/>
          </w:p>
          <w:p w14:paraId="5F412C27" w14:textId="77777777" w:rsidR="00E71F7D" w:rsidRDefault="00E71F7D" w:rsidP="00E71F7D">
            <w:pPr>
              <w:pStyle w:val="3"/>
              <w:numPr>
                <w:ilvl w:val="0"/>
                <w:numId w:val="0"/>
              </w:numPr>
              <w:jc w:val="center"/>
              <w:rPr>
                <w:rFonts w:ascii="Garamond" w:hAnsi="Garamond"/>
                <w:b w:val="0"/>
                <w:szCs w:val="22"/>
              </w:rPr>
            </w:pPr>
            <w:bookmarkStart w:id="57" w:name="_Toc467675923"/>
            <w:bookmarkStart w:id="58" w:name="_Toc533504276"/>
            <w:bookmarkStart w:id="59" w:name="_Toc60074037"/>
            <w:bookmarkStart w:id="60" w:name="_Toc112166442"/>
            <w:bookmarkStart w:id="61" w:name="_Toc138724325"/>
            <w:r>
              <w:rPr>
                <w:rFonts w:ascii="Garamond" w:hAnsi="Garamond"/>
                <w:b w:val="0"/>
                <w:szCs w:val="22"/>
              </w:rPr>
              <w:t>…</w:t>
            </w:r>
          </w:p>
          <w:p w14:paraId="6247BD97" w14:textId="77777777" w:rsidR="00E71F7D" w:rsidRPr="005C6108" w:rsidRDefault="00E71F7D" w:rsidP="00E71F7D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заключаются регулируемые договоры на поставку электрической энергии и мощности.</w:t>
            </w:r>
            <w:bookmarkEnd w:id="57"/>
            <w:bookmarkEnd w:id="58"/>
            <w:bookmarkEnd w:id="59"/>
            <w:bookmarkEnd w:id="60"/>
            <w:bookmarkEnd w:id="61"/>
          </w:p>
          <w:p w14:paraId="7541397F" w14:textId="77777777" w:rsidR="00D64C0A" w:rsidRPr="003D2FBB" w:rsidRDefault="00D64C0A" w:rsidP="0056793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045" w:type="dxa"/>
            <w:vAlign w:val="center"/>
          </w:tcPr>
          <w:p w14:paraId="6247AFB3" w14:textId="77777777" w:rsidR="00673F80" w:rsidRPr="005C6108" w:rsidRDefault="00673F80" w:rsidP="00424B9C">
            <w:pPr>
              <w:pStyle w:val="3"/>
              <w:numPr>
                <w:ilvl w:val="0"/>
                <w:numId w:val="0"/>
              </w:numPr>
              <w:tabs>
                <w:tab w:val="left" w:pos="567"/>
              </w:tabs>
              <w:ind w:firstLine="600"/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lastRenderedPageBreak/>
              <w:t xml:space="preserve">Регулируемые договоры заключаются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 xml:space="preserve">в соответствии с принятыми </w:t>
            </w:r>
            <w:r w:rsidRPr="005C6108">
              <w:rPr>
                <w:rFonts w:ascii="Garamond" w:hAnsi="Garamond" w:cs="Garamond"/>
                <w:b w:val="0"/>
                <w:szCs w:val="22"/>
                <w:lang w:eastAsia="ru-RU"/>
              </w:rPr>
              <w:t xml:space="preserve">федеральным органом исполнительной власти в области государственного регулирования тарифов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 xml:space="preserve">решениями об определении при формировании сводного прогнозного баланса производства и поставок электрической энергии и (или) мощности в рамках ЕЭС России по субъектам Российской Федерации </w:t>
            </w:r>
            <w:r w:rsidRPr="005C6108">
              <w:rPr>
                <w:rFonts w:ascii="Garamond" w:hAnsi="Garamond" w:cs="Garamond"/>
                <w:b w:val="0"/>
                <w:szCs w:val="22"/>
                <w:lang w:eastAsia="ru-RU"/>
              </w:rPr>
              <w:t xml:space="preserve">(далее – </w:t>
            </w:r>
            <w:r w:rsidRPr="005C6108">
              <w:rPr>
                <w:rFonts w:ascii="Garamond" w:hAnsi="Garamond"/>
                <w:b w:val="0"/>
                <w:bCs/>
                <w:iCs/>
                <w:szCs w:val="22"/>
              </w:rPr>
              <w:t>Сводный прогнозный баланс)</w:t>
            </w:r>
            <w:r w:rsidRPr="005C6108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Pr="005C6108">
              <w:rPr>
                <w:rFonts w:ascii="Garamond" w:eastAsia="Calibri" w:hAnsi="Garamond" w:cs="Garamond"/>
                <w:b w:val="0"/>
                <w:szCs w:val="22"/>
                <w:lang w:eastAsia="ru-RU"/>
              </w:rPr>
              <w:t>прогнозных объемов продажи (покупки) электрической энергии и (или) мощности по регулируемым ценам (тарифам) в зарегистрированных в соответствии с Правилами оптового рынка группах точек поставки</w:t>
            </w:r>
            <w:r w:rsidRPr="005C6108">
              <w:rPr>
                <w:rFonts w:ascii="Garamond" w:hAnsi="Garamond"/>
                <w:b w:val="0"/>
                <w:szCs w:val="22"/>
              </w:rPr>
              <w:t xml:space="preserve"> следующими участниками оптового рынка, функционирующими в ценовых зонах оптового рынка:  </w:t>
            </w:r>
          </w:p>
          <w:p w14:paraId="732C5BE3" w14:textId="77777777" w:rsidR="00673F80" w:rsidRPr="005C6108" w:rsidRDefault="00673F80" w:rsidP="00673F80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гарантирующими поставщиками (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энергоснабжающими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,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энергосбытовыми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организациями, к числу покупателей которых относится население и (или) приравненные к нему категории потребителей); </w:t>
            </w:r>
          </w:p>
          <w:p w14:paraId="07CE08F5" w14:textId="77777777" w:rsidR="00673F80" w:rsidRPr="005C6108" w:rsidRDefault="00673F80" w:rsidP="00673F80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lastRenderedPageBreak/>
              <w:t xml:space="preserve">гарантирующими поставщиками,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энергосбытовыми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и </w:t>
            </w:r>
            <w:proofErr w:type="spellStart"/>
            <w:r w:rsidRPr="005C6108">
              <w:rPr>
                <w:rFonts w:ascii="Garamond" w:hAnsi="Garamond"/>
                <w:b w:val="0"/>
                <w:szCs w:val="22"/>
              </w:rPr>
              <w:t>энергоснабжающими</w:t>
            </w:r>
            <w:proofErr w:type="spellEnd"/>
            <w:r w:rsidRPr="005C6108">
              <w:rPr>
                <w:rFonts w:ascii="Garamond" w:hAnsi="Garamond"/>
                <w:b w:val="0"/>
                <w:szCs w:val="22"/>
              </w:rPr>
              <w:t xml:space="preserve"> организациями – участниками оптового рынка, функционирующими в отдельных частях ценовых зон оптового рынка, а также организациями – участниками оптового рынка, осуществляющими экспортно-импортные операции в части покупки электрической энергии и мощности на территории Республики Северная Осетия – Алания, для которых Правительством Российской Федерации установлены особенности функционирования оптового и розничных рынков, определенными в п. 5 приложения 3 к настоящему Регламенту (далее по тексту настоящего Регламента – покупатели, функционирующие в отдельных частях ценовых зон). </w:t>
            </w:r>
          </w:p>
          <w:p w14:paraId="063A4B4A" w14:textId="77777777" w:rsidR="00673F80" w:rsidRPr="005C6108" w:rsidRDefault="00673F80" w:rsidP="00673F80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производителями электрической энергии и мощности, владеющими на праве собственности или ином законном основании генерирующими объектами, отнесенными на 1 октября года, предшествующего году, в котором предполагается поставка по регулируемым договорам, к группам точек поставки, в отношении которых получено право участия в торговле электрической энергией или электрической энергией и мощностью.</w:t>
            </w:r>
          </w:p>
          <w:p w14:paraId="056716C6" w14:textId="77777777" w:rsidR="00D64C0A" w:rsidRPr="00D173E8" w:rsidRDefault="00D173E8" w:rsidP="00424B9C">
            <w:pPr>
              <w:tabs>
                <w:tab w:val="left" w:pos="708"/>
              </w:tabs>
              <w:spacing w:before="120" w:after="120"/>
              <w:ind w:firstLine="60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D173E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период до 31 декабря 2028 года включительно поставка (покупка) электрической энергии и мощности по регулируемым договорам для обеспечения электрической энергией (мощностью) населения и (или) приравненных к нему категорий потребителей на входящей в состав Дальневосточного федерального округа отдельной территории, ранее относившейся к неценовым зонам, осуществляется участниками оптового рынка исключительно с использованием ГТП, расположенных на указанной территории</w:t>
            </w:r>
            <w:r w:rsidR="00D64C0A" w:rsidRPr="00D173E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5EE168F1" w14:textId="77777777" w:rsidR="00673F80" w:rsidRPr="005C6108" w:rsidRDefault="00673F80" w:rsidP="00673F80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При этом в отношении следующих генерирующих объектов:</w:t>
            </w:r>
          </w:p>
          <w:p w14:paraId="0883DC8A" w14:textId="77777777" w:rsidR="00673F80" w:rsidRPr="005C6108" w:rsidRDefault="00673F80" w:rsidP="00673F80">
            <w:pPr>
              <w:pStyle w:val="3"/>
              <w:keepNext/>
              <w:numPr>
                <w:ilvl w:val="0"/>
                <w:numId w:val="7"/>
              </w:numPr>
              <w:tabs>
                <w:tab w:val="num" w:pos="1146"/>
              </w:tabs>
              <w:ind w:left="1146"/>
              <w:rPr>
                <w:rFonts w:ascii="Garamond" w:hAnsi="Garamond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генерирующих объектов, мощность которых отобрана по результатам конкурентного отбора мощности на календарный год, в котором предполагается поставка по регулируемым договорам;</w:t>
            </w:r>
          </w:p>
          <w:p w14:paraId="45B05EB1" w14:textId="77777777" w:rsidR="00673F80" w:rsidRDefault="00673F80" w:rsidP="00673F80">
            <w:pPr>
              <w:pStyle w:val="3"/>
              <w:numPr>
                <w:ilvl w:val="0"/>
                <w:numId w:val="0"/>
              </w:numPr>
              <w:jc w:val="center"/>
              <w:rPr>
                <w:rFonts w:ascii="Garamond" w:hAnsi="Garamond"/>
                <w:b w:val="0"/>
                <w:szCs w:val="22"/>
              </w:rPr>
            </w:pPr>
            <w:r>
              <w:rPr>
                <w:rFonts w:ascii="Garamond" w:hAnsi="Garamond"/>
                <w:b w:val="0"/>
                <w:szCs w:val="22"/>
              </w:rPr>
              <w:t>…</w:t>
            </w:r>
          </w:p>
          <w:p w14:paraId="60A7F76D" w14:textId="64B54616" w:rsidR="00D64C0A" w:rsidRPr="00C405D1" w:rsidRDefault="00673F80" w:rsidP="00C405D1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b w:val="0"/>
                <w:szCs w:val="22"/>
              </w:rPr>
            </w:pPr>
            <w:r w:rsidRPr="005C6108">
              <w:rPr>
                <w:rFonts w:ascii="Garamond" w:hAnsi="Garamond"/>
                <w:b w:val="0"/>
                <w:szCs w:val="22"/>
              </w:rPr>
              <w:t>заключаются регулируемые договоры на поставку электрической энергии и мощности.</w:t>
            </w:r>
          </w:p>
        </w:tc>
      </w:tr>
    </w:tbl>
    <w:p w14:paraId="31ADF519" w14:textId="371A9037" w:rsidR="00DD592F" w:rsidRPr="009F5518" w:rsidRDefault="00DD592F" w:rsidP="00C405D1">
      <w:pPr>
        <w:pStyle w:val="2"/>
        <w:keepLines/>
        <w:widowControl w:val="0"/>
        <w:numPr>
          <w:ilvl w:val="1"/>
          <w:numId w:val="0"/>
        </w:numPr>
        <w:spacing w:before="0" w:after="0"/>
        <w:jc w:val="left"/>
        <w:rPr>
          <w:rFonts w:ascii="Garamond" w:hAnsi="Garamond"/>
          <w:sz w:val="26"/>
          <w:szCs w:val="26"/>
        </w:rPr>
      </w:pPr>
      <w:r w:rsidRPr="009F5518">
        <w:rPr>
          <w:rFonts w:ascii="Garamond" w:eastAsia="Batang" w:hAnsi="Garamond"/>
          <w:bCs/>
          <w:sz w:val="26"/>
          <w:szCs w:val="26"/>
        </w:rPr>
        <w:lastRenderedPageBreak/>
        <w:t>Предложения по изменениям и дополнениям в</w:t>
      </w:r>
      <w:r w:rsidR="0074250C">
        <w:rPr>
          <w:rFonts w:ascii="Garamond" w:eastAsia="Batang" w:hAnsi="Garamond"/>
          <w:bCs/>
          <w:sz w:val="26"/>
          <w:szCs w:val="26"/>
        </w:rPr>
        <w:t xml:space="preserve"> </w:t>
      </w:r>
      <w:r w:rsidR="00C405D1">
        <w:rPr>
          <w:rFonts w:ascii="Garamond" w:eastAsia="Batang" w:hAnsi="Garamond"/>
          <w:bCs/>
          <w:sz w:val="26"/>
          <w:szCs w:val="26"/>
        </w:rPr>
        <w:t>п</w:t>
      </w:r>
      <w:r w:rsidR="0074250C">
        <w:rPr>
          <w:rFonts w:ascii="Garamond" w:eastAsia="Batang" w:hAnsi="Garamond"/>
          <w:bCs/>
          <w:sz w:val="26"/>
          <w:szCs w:val="26"/>
        </w:rPr>
        <w:t>риложение 3 к</w:t>
      </w:r>
      <w:r w:rsidRPr="009F5518">
        <w:rPr>
          <w:rFonts w:ascii="Garamond" w:hAnsi="Garamond"/>
          <w:sz w:val="26"/>
          <w:szCs w:val="26"/>
        </w:rPr>
        <w:t xml:space="preserve"> РЕГЛАМЕНТ</w:t>
      </w:r>
      <w:r w:rsidR="0074250C">
        <w:rPr>
          <w:rFonts w:ascii="Garamond" w:hAnsi="Garamond"/>
          <w:sz w:val="26"/>
          <w:szCs w:val="26"/>
        </w:rPr>
        <w:t>У</w:t>
      </w:r>
      <w:r w:rsidRPr="009F5518">
        <w:rPr>
          <w:rFonts w:ascii="Garamond" w:hAnsi="Garamond"/>
          <w:sz w:val="26"/>
          <w:szCs w:val="26"/>
        </w:rPr>
        <w:t xml:space="preserve"> </w:t>
      </w:r>
      <w:r w:rsidRPr="009F5518">
        <w:rPr>
          <w:rFonts w:ascii="Garamond" w:hAnsi="Garamond"/>
          <w:caps/>
          <w:sz w:val="26"/>
          <w:szCs w:val="26"/>
        </w:rPr>
        <w:t xml:space="preserve">регистрации регулируемых договоров купли-продажи электроэнергии и мощности </w:t>
      </w:r>
      <w:r w:rsidRPr="009F5518">
        <w:rPr>
          <w:rFonts w:ascii="Garamond" w:hAnsi="Garamond"/>
          <w:sz w:val="26"/>
          <w:szCs w:val="26"/>
        </w:rPr>
        <w:t xml:space="preserve">(Приложение № 6.2 к </w:t>
      </w:r>
      <w:r w:rsidRPr="009F5518">
        <w:rPr>
          <w:rFonts w:ascii="Garamond" w:hAnsi="Garamond"/>
          <w:bCs/>
          <w:sz w:val="26"/>
          <w:szCs w:val="26"/>
        </w:rPr>
        <w:t>Договору о присоединении к торговой системе оптового рынка</w:t>
      </w:r>
      <w:r w:rsidRPr="009F5518">
        <w:rPr>
          <w:rFonts w:ascii="Garamond" w:hAnsi="Garamond"/>
          <w:sz w:val="26"/>
          <w:szCs w:val="26"/>
        </w:rPr>
        <w:t>)</w:t>
      </w:r>
    </w:p>
    <w:p w14:paraId="79A07FD8" w14:textId="77777777" w:rsidR="00DD592F" w:rsidRPr="007927E6" w:rsidRDefault="00DD592F" w:rsidP="00C405D1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DD592F" w:rsidRPr="00781561" w14:paraId="33B2B6BF" w14:textId="77777777" w:rsidTr="008D3388">
        <w:tc>
          <w:tcPr>
            <w:tcW w:w="988" w:type="dxa"/>
            <w:vAlign w:val="center"/>
          </w:tcPr>
          <w:p w14:paraId="1D55716A" w14:textId="77777777" w:rsidR="00DD592F" w:rsidRPr="00781561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71ECB15E" w14:textId="77777777" w:rsidR="00DD592F" w:rsidRPr="00781561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205D5664" w14:textId="77777777" w:rsidR="00DD592F" w:rsidRDefault="00DD592F" w:rsidP="00C405D1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37C7FBE4" w14:textId="77777777" w:rsidR="00DD592F" w:rsidRPr="00781561" w:rsidRDefault="00DD592F" w:rsidP="00C405D1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0E173133" w14:textId="77777777" w:rsidR="00DD592F" w:rsidRPr="00781561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2AC71D10" w14:textId="77777777" w:rsidR="00DD592F" w:rsidRPr="00781561" w:rsidRDefault="00DD592F" w:rsidP="00C405D1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74250C" w:rsidRPr="00781561" w14:paraId="30CA1844" w14:textId="77777777" w:rsidTr="008E02FB">
        <w:tc>
          <w:tcPr>
            <w:tcW w:w="988" w:type="dxa"/>
            <w:vAlign w:val="center"/>
          </w:tcPr>
          <w:p w14:paraId="6A197F3F" w14:textId="77777777" w:rsidR="0074250C" w:rsidRPr="00781561" w:rsidRDefault="0074250C" w:rsidP="008D338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</w:tcPr>
          <w:p w14:paraId="6F338720" w14:textId="77777777" w:rsidR="0074250C" w:rsidRPr="00CD1735" w:rsidRDefault="0074250C" w:rsidP="00C23828">
            <w:pPr>
              <w:pStyle w:val="1"/>
              <w:pageBreakBefore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bookmarkStart w:id="62" w:name="_Toc274732062"/>
            <w:r w:rsidRPr="00CD1735">
              <w:rPr>
                <w:rFonts w:ascii="Garamond" w:hAnsi="Garamond"/>
                <w:sz w:val="22"/>
                <w:szCs w:val="22"/>
              </w:rPr>
              <w:t>РАСЧЕТ СХЕМЫ ПРИКРЕПЛЕНИЯ И ОПРЕДЕЛЕНИЕ ПЛАНОВЫХ ПОЧАСОВЫХ ОБЪЕМОВ В РАМКАХ РЕГУЛИРУЕМЫХ ДОГОВОРОВ СУБЪЕКТОВ ОПТОВОГО РЫНКА ЭЛЕКТРОЭНЕРГИИ</w:t>
            </w:r>
            <w:bookmarkEnd w:id="62"/>
          </w:p>
          <w:p w14:paraId="26D3BE67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bookmarkStart w:id="63" w:name="_Toc274732063"/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формируются в отношении участников оптового рынка, определенных в соответствии с пунктом 3.2 </w:t>
            </w:r>
            <w:r w:rsidRPr="00CD1735">
              <w:rPr>
                <w:rFonts w:ascii="Garamond" w:hAnsi="Garamond"/>
                <w:i/>
                <w:sz w:val="22"/>
                <w:szCs w:val="22"/>
              </w:rPr>
              <w:t xml:space="preserve">Регламента регистрации регулируемых договоров купли-продажи электроэнергии и мощности </w:t>
            </w:r>
            <w:r w:rsidRPr="00CD1735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CD173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1735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14:paraId="243C3EED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для поставки населению определяются КО на объемы поставки населению и (или) приравненным к нему категориям потребителей, утвержденные федеральным органом исполнительной власти в области государственного регулирования тарифов в Сводном прогнозном балансе. </w:t>
            </w:r>
          </w:p>
          <w:p w14:paraId="3646C4D8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для поставки </w:t>
            </w:r>
            <w:proofErr w:type="spellStart"/>
            <w:r w:rsidRPr="00CD1735">
              <w:rPr>
                <w:rFonts w:ascii="Garamond" w:hAnsi="Garamond"/>
                <w:sz w:val="22"/>
                <w:szCs w:val="22"/>
              </w:rPr>
              <w:t>ненаселению</w:t>
            </w:r>
            <w:proofErr w:type="spellEnd"/>
            <w:r w:rsidRPr="00CD1735">
              <w:rPr>
                <w:rFonts w:ascii="Garamond" w:hAnsi="Garamond"/>
                <w:sz w:val="22"/>
                <w:szCs w:val="22"/>
              </w:rPr>
              <w:t xml:space="preserve"> определяются КО в отношении покупателей, определенных в п. 5 настоящего приложения, на объемы превышения полных объемов потребления над объемами потребления населения и (или) приравненных к нему категорий потребителей, в соответствии со Сводным прогнозным балансом. </w:t>
            </w:r>
          </w:p>
          <w:bookmarkEnd w:id="63"/>
          <w:p w14:paraId="53FA5587" w14:textId="77777777" w:rsidR="0074250C" w:rsidRPr="00CD1735" w:rsidRDefault="0074250C" w:rsidP="00C23828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045" w:type="dxa"/>
          </w:tcPr>
          <w:p w14:paraId="0DBD2B25" w14:textId="77777777" w:rsidR="0074250C" w:rsidRPr="00CD1735" w:rsidRDefault="0074250C" w:rsidP="00C23828">
            <w:pPr>
              <w:pStyle w:val="1"/>
              <w:pageBreakBefore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>РАСЧЕТ СХЕМЫ ПРИКРЕПЛЕНИЯ И ОПРЕДЕЛЕНИЕ ПЛАНОВЫХ ПОЧАСОВЫХ ОБЪЕМОВ В РАМКАХ РЕГУЛИРУЕМЫХ ДОГОВОРОВ СУБЪЕКТОВ ОПТОВОГО РЫНКА ЭЛЕКТРОЭНЕРГИИ</w:t>
            </w:r>
          </w:p>
          <w:p w14:paraId="2D2CD381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формируются в отношении участников оптового рынка, определенных в соответствии с пунктом 3.2 </w:t>
            </w:r>
            <w:r w:rsidRPr="00CD1735">
              <w:rPr>
                <w:rFonts w:ascii="Garamond" w:hAnsi="Garamond"/>
                <w:i/>
                <w:sz w:val="22"/>
                <w:szCs w:val="22"/>
              </w:rPr>
              <w:t xml:space="preserve">Регламента регистрации регулируемых договоров купли-продажи электроэнергии и мощности </w:t>
            </w:r>
            <w:r w:rsidRPr="00CD1735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CD173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1735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14:paraId="2BBAC405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для поставки населению определяются КО на объемы поставки населению и (или) приравненным к нему категориям потребителей, утвержденные федеральным органом исполнительной власти в области государственного регулирования тарифов в Сводном прогнозном балансе. </w:t>
            </w:r>
          </w:p>
          <w:p w14:paraId="36FECA96" w14:textId="77777777" w:rsidR="0074250C" w:rsidRPr="00CD1735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</w:rPr>
              <w:t xml:space="preserve">Регулируемые договоры для поставки </w:t>
            </w:r>
            <w:proofErr w:type="spellStart"/>
            <w:r w:rsidRPr="00CD1735">
              <w:rPr>
                <w:rFonts w:ascii="Garamond" w:hAnsi="Garamond"/>
                <w:sz w:val="22"/>
                <w:szCs w:val="22"/>
              </w:rPr>
              <w:t>ненаселению</w:t>
            </w:r>
            <w:proofErr w:type="spellEnd"/>
            <w:r w:rsidRPr="00CD1735">
              <w:rPr>
                <w:rFonts w:ascii="Garamond" w:hAnsi="Garamond"/>
                <w:sz w:val="22"/>
                <w:szCs w:val="22"/>
              </w:rPr>
              <w:t xml:space="preserve"> определяются КО в отношении покупателей, определенных в п. 5 настоящего приложения, на объемы превышения полных объемов потребления над объемами потребления населения и (или) приравненных к нему категорий потребителей, в соответствии со Сводным прогнозным балансом. </w:t>
            </w:r>
          </w:p>
          <w:p w14:paraId="67AE9D01" w14:textId="77777777" w:rsidR="0074250C" w:rsidRPr="001A49BB" w:rsidRDefault="0074250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>В период до 31 декабря 202</w:t>
            </w:r>
            <w:r w:rsidR="00D173E8" w:rsidRPr="00D173E8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 включительно </w:t>
            </w:r>
            <w:bookmarkStart w:id="64" w:name="_Hlk175816942"/>
            <w:r w:rsidR="00CD1735" w:rsidRPr="00CD1735">
              <w:rPr>
                <w:rFonts w:ascii="Garamond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территории, ранее относившейся к неценовым зонам</w:t>
            </w:r>
            <w:bookmarkEnd w:id="64"/>
            <w:r w:rsidR="00CD1735" w:rsidRPr="00CD173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D173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>регулируемы</w:t>
            </w:r>
            <w:r w:rsidR="00CD1735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 xml:space="preserve"> договор</w:t>
            </w:r>
            <w:r w:rsidR="00CD1735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bookmarkStart w:id="65" w:name="_Hlk175816876"/>
            <w:r w:rsidR="00CD1735">
              <w:rPr>
                <w:rFonts w:ascii="Garamond" w:hAnsi="Garamond"/>
                <w:sz w:val="22"/>
                <w:szCs w:val="22"/>
                <w:highlight w:val="yellow"/>
              </w:rPr>
              <w:t xml:space="preserve">формируются </w:t>
            </w:r>
            <w:r w:rsidRPr="00CD1735">
              <w:rPr>
                <w:rFonts w:ascii="Garamond" w:hAnsi="Garamond"/>
                <w:sz w:val="22"/>
                <w:szCs w:val="22"/>
                <w:highlight w:val="yellow"/>
              </w:rPr>
              <w:t>для обеспечения электрической энергией (мощностью) населения и (или) приравненных к нему категорий потребителей исключительно с использованием групп точек поставки, расположенных на соответствующей территории.</w:t>
            </w:r>
            <w:bookmarkEnd w:id="65"/>
          </w:p>
        </w:tc>
      </w:tr>
      <w:tr w:rsidR="005442E8" w:rsidRPr="00781561" w14:paraId="612C9FCB" w14:textId="77777777" w:rsidTr="008D3388">
        <w:tc>
          <w:tcPr>
            <w:tcW w:w="988" w:type="dxa"/>
            <w:vAlign w:val="center"/>
          </w:tcPr>
          <w:p w14:paraId="5411A791" w14:textId="55D10192" w:rsidR="005442E8" w:rsidRPr="00781561" w:rsidRDefault="00C405D1" w:rsidP="008D338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6945" w:type="dxa"/>
            <w:vAlign w:val="center"/>
          </w:tcPr>
          <w:p w14:paraId="44564EBA" w14:textId="77777777" w:rsidR="005442E8" w:rsidRPr="00224668" w:rsidRDefault="005442E8" w:rsidP="00C23828">
            <w:pPr>
              <w:pStyle w:val="3"/>
              <w:numPr>
                <w:ilvl w:val="1"/>
                <w:numId w:val="4"/>
              </w:numPr>
              <w:rPr>
                <w:rFonts w:ascii="Garamond" w:hAnsi="Garamond"/>
                <w:szCs w:val="22"/>
              </w:rPr>
            </w:pPr>
            <w:bookmarkStart w:id="66" w:name="_Toc274732076"/>
            <w:r w:rsidRPr="000F5DB0">
              <w:rPr>
                <w:rFonts w:ascii="Garamond" w:hAnsi="Garamond"/>
                <w:szCs w:val="22"/>
              </w:rPr>
              <w:t>Прочие параметры</w:t>
            </w:r>
            <w:r w:rsidRPr="00224668">
              <w:rPr>
                <w:rFonts w:ascii="Garamond" w:hAnsi="Garamond"/>
                <w:szCs w:val="22"/>
              </w:rPr>
              <w:t xml:space="preserve"> модели</w:t>
            </w:r>
            <w:bookmarkEnd w:id="66"/>
          </w:p>
          <w:p w14:paraId="3E17025F" w14:textId="77777777" w:rsidR="005442E8" w:rsidRDefault="00581B35" w:rsidP="00C23828">
            <w:pPr>
              <w:pStyle w:val="subclauseindent"/>
              <w:widowControl w:val="0"/>
              <w:numPr>
                <w:ilvl w:val="0"/>
                <w:numId w:val="2"/>
              </w:numPr>
              <w:tabs>
                <w:tab w:val="clear" w:pos="1146"/>
              </w:tabs>
              <w:ind w:left="709" w:hanging="425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рез</m:t>
                  </m:r>
                </m:sup>
              </m:sSubSup>
            </m:oMath>
            <w:r w:rsidR="005442E8" w:rsidRPr="00317726">
              <w:rPr>
                <w:rFonts w:ascii="Garamond" w:hAnsi="Garamond"/>
                <w:szCs w:val="22"/>
              </w:rPr>
              <w:tab/>
              <w:t xml:space="preserve">− </w:t>
            </w:r>
            <w:r w:rsidR="007D353E" w:rsidRPr="00317726">
              <w:rPr>
                <w:rFonts w:ascii="Garamond" w:hAnsi="Garamond"/>
                <w:szCs w:val="22"/>
              </w:rPr>
              <w:t xml:space="preserve">коэффициент резервирования мощности для расчета объемов поставки мощности по регулируемым договорам. </w:t>
            </w:r>
            <w:r w:rsidR="007D353E" w:rsidRPr="003329C4">
              <w:rPr>
                <w:rFonts w:ascii="Garamond" w:hAnsi="Garamond"/>
                <w:szCs w:val="22"/>
                <w:highlight w:val="yellow"/>
              </w:rPr>
              <w:t>Рассчитывается как</w:t>
            </w:r>
            <w:r w:rsidR="007D353E" w:rsidRPr="00317726">
              <w:rPr>
                <w:rFonts w:ascii="Garamond" w:hAnsi="Garamond"/>
                <w:szCs w:val="22"/>
              </w:rPr>
              <w:t xml:space="preserve"> отношение суммы предварительных месячных </w:t>
            </w:r>
            <w:r w:rsidR="007D353E" w:rsidRPr="00317726">
              <w:rPr>
                <w:rFonts w:ascii="Garamond" w:hAnsi="Garamond"/>
                <w:szCs w:val="22"/>
              </w:rPr>
              <w:lastRenderedPageBreak/>
              <w:t xml:space="preserve">объемов поставки мощности для поставщиков за месяц </w:t>
            </w:r>
            <w:r w:rsidR="007D353E" w:rsidRPr="0031772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="007D353E" w:rsidRPr="00317726">
              <w:rPr>
                <w:rFonts w:ascii="Garamond" w:hAnsi="Garamond"/>
                <w:szCs w:val="22"/>
              </w:rPr>
              <w:t xml:space="preserve"> к суммарному объему потребления мощности населением и </w:t>
            </w:r>
            <w:proofErr w:type="spellStart"/>
            <w:r w:rsidR="007D353E" w:rsidRPr="00317726">
              <w:rPr>
                <w:rFonts w:ascii="Garamond" w:hAnsi="Garamond"/>
                <w:szCs w:val="22"/>
              </w:rPr>
              <w:t>ненаселением</w:t>
            </w:r>
            <w:proofErr w:type="spellEnd"/>
            <w:r w:rsidR="007D353E" w:rsidRPr="00317726">
              <w:rPr>
                <w:rFonts w:ascii="Garamond" w:hAnsi="Garamond"/>
                <w:szCs w:val="22"/>
              </w:rPr>
              <w:t xml:space="preserve"> в месяце </w:t>
            </w:r>
            <w:r w:rsidR="007D353E" w:rsidRPr="0031772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="007D353E" w:rsidRPr="00581B35">
              <w:rPr>
                <w:rFonts w:ascii="Garamond" w:hAnsi="Garamond"/>
                <w:szCs w:val="22"/>
                <w:highlight w:val="yellow"/>
              </w:rPr>
              <w:t>, определенному на основании Сводного прогнозного баланса,</w:t>
            </w:r>
            <w:r w:rsidR="007D353E" w:rsidRPr="00317726">
              <w:rPr>
                <w:rFonts w:ascii="Garamond" w:hAnsi="Garamond"/>
                <w:szCs w:val="22"/>
              </w:rPr>
              <w:t xml:space="preserve"> по соответствую</w:t>
            </w:r>
            <w:r w:rsidR="007D353E">
              <w:rPr>
                <w:rFonts w:ascii="Garamond" w:hAnsi="Garamond"/>
                <w:szCs w:val="22"/>
              </w:rPr>
              <w:t>щей ценовой зоне оптового рынка</w:t>
            </w:r>
            <w:r w:rsidR="007D353E" w:rsidRPr="00F66583">
              <w:rPr>
                <w:rFonts w:ascii="Garamond" w:hAnsi="Garamond"/>
                <w:szCs w:val="22"/>
              </w:rPr>
              <w:t>.</w:t>
            </w:r>
          </w:p>
          <w:p w14:paraId="13C2D752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34CB3257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72570D5E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10A8C038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34E2DB91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7E0E1E7E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7EB4B949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76352CE9" w14:textId="77777777" w:rsidR="000631E1" w:rsidRDefault="000631E1" w:rsidP="00C23828">
            <w:pPr>
              <w:pStyle w:val="subclauseindent"/>
              <w:widowControl w:val="0"/>
              <w:rPr>
                <w:rFonts w:ascii="Garamond" w:hAnsi="Garamond"/>
                <w:szCs w:val="22"/>
              </w:rPr>
            </w:pPr>
          </w:p>
          <w:p w14:paraId="5328EA82" w14:textId="425DAFC2" w:rsidR="000631E1" w:rsidRPr="00317726" w:rsidRDefault="000631E1" w:rsidP="00C23828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</w:p>
          <w:p w14:paraId="63B95FD5" w14:textId="77777777" w:rsidR="005442E8" w:rsidRPr="00491BCD" w:rsidRDefault="005442E8" w:rsidP="00C23828">
            <w:pPr>
              <w:pStyle w:val="1"/>
              <w:pageBreakBefore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45" w:type="dxa"/>
          </w:tcPr>
          <w:p w14:paraId="599E49B7" w14:textId="77777777" w:rsidR="005442E8" w:rsidRPr="00224668" w:rsidRDefault="005442E8" w:rsidP="00C23828">
            <w:pPr>
              <w:pStyle w:val="3"/>
              <w:numPr>
                <w:ilvl w:val="1"/>
                <w:numId w:val="5"/>
              </w:numPr>
              <w:rPr>
                <w:rFonts w:ascii="Garamond" w:hAnsi="Garamond"/>
                <w:szCs w:val="22"/>
              </w:rPr>
            </w:pPr>
            <w:r w:rsidRPr="000F5DB0">
              <w:rPr>
                <w:rFonts w:ascii="Garamond" w:hAnsi="Garamond"/>
                <w:szCs w:val="22"/>
              </w:rPr>
              <w:lastRenderedPageBreak/>
              <w:t>Прочие параметры</w:t>
            </w:r>
            <w:r w:rsidRPr="00224668">
              <w:rPr>
                <w:rFonts w:ascii="Garamond" w:hAnsi="Garamond"/>
                <w:szCs w:val="22"/>
              </w:rPr>
              <w:t xml:space="preserve"> модели</w:t>
            </w:r>
          </w:p>
          <w:p w14:paraId="287EDB6E" w14:textId="77777777" w:rsidR="00F66583" w:rsidRPr="00F66583" w:rsidRDefault="00581B35" w:rsidP="00C23828">
            <w:pPr>
              <w:pStyle w:val="subclauseindent"/>
              <w:widowControl w:val="0"/>
              <w:numPr>
                <w:ilvl w:val="0"/>
                <w:numId w:val="2"/>
              </w:numPr>
              <w:tabs>
                <w:tab w:val="clear" w:pos="1146"/>
              </w:tabs>
              <w:ind w:left="709" w:hanging="425"/>
              <w:rPr>
                <w:rFonts w:ascii="Garamond" w:hAnsi="Garamond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рез</m:t>
                  </m:r>
                </m:sup>
              </m:sSubSup>
            </m:oMath>
            <w:r w:rsidR="005442E8" w:rsidRPr="00317726">
              <w:rPr>
                <w:rFonts w:ascii="Garamond" w:hAnsi="Garamond"/>
                <w:szCs w:val="22"/>
              </w:rPr>
              <w:tab/>
              <w:t xml:space="preserve">− </w:t>
            </w:r>
            <w:r w:rsidR="007D353E" w:rsidRPr="00317726">
              <w:rPr>
                <w:rFonts w:ascii="Garamond" w:hAnsi="Garamond"/>
                <w:szCs w:val="22"/>
              </w:rPr>
              <w:t>коэффициент резервирования мощности для расчета объемов поставки мощ</w:t>
            </w:r>
            <w:r w:rsidR="00F66583">
              <w:rPr>
                <w:rFonts w:ascii="Garamond" w:hAnsi="Garamond"/>
                <w:szCs w:val="22"/>
              </w:rPr>
              <w:t>ности по регулируемым договорам</w:t>
            </w:r>
            <w:r w:rsidR="00F66583" w:rsidRPr="00F66583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="00F66583" w:rsidRPr="00F66583">
              <w:rPr>
                <w:rFonts w:ascii="Garamond" w:hAnsi="Garamond"/>
                <w:szCs w:val="22"/>
                <w:highlight w:val="yellow"/>
              </w:rPr>
              <w:lastRenderedPageBreak/>
              <w:t>рассчитываемый как:</w:t>
            </w:r>
          </w:p>
          <w:p w14:paraId="25B4DEA8" w14:textId="62A3DD2A" w:rsidR="005442E8" w:rsidRPr="00172510" w:rsidRDefault="00F66583" w:rsidP="00C23828">
            <w:pPr>
              <w:pStyle w:val="subclauseindent"/>
              <w:widowControl w:val="0"/>
              <w:numPr>
                <w:ilvl w:val="1"/>
                <w:numId w:val="2"/>
              </w:numPr>
              <w:tabs>
                <w:tab w:val="clear" w:pos="1866"/>
              </w:tabs>
              <w:ind w:left="1033"/>
              <w:rPr>
                <w:rFonts w:ascii="Garamond" w:hAnsi="Garamond"/>
                <w:szCs w:val="22"/>
                <w:highlight w:val="yellow"/>
              </w:rPr>
            </w:pPr>
            <w:r w:rsidRPr="00F66583">
              <w:rPr>
                <w:rFonts w:ascii="Garamond" w:hAnsi="Garamond"/>
                <w:szCs w:val="22"/>
                <w:highlight w:val="yellow"/>
              </w:rPr>
              <w:t>для ценовых зон оптового рынка</w:t>
            </w:r>
            <w:r w:rsidR="003329C4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szCs w:val="22"/>
              </w:rPr>
              <w:t>–</w:t>
            </w:r>
            <w:r w:rsidR="007D353E" w:rsidRPr="00317726">
              <w:rPr>
                <w:rFonts w:ascii="Garamond" w:hAnsi="Garamond"/>
                <w:szCs w:val="22"/>
              </w:rPr>
              <w:t xml:space="preserve"> отношение суммы </w:t>
            </w:r>
            <w:r w:rsidR="00581B35" w:rsidRPr="00581B35">
              <w:rPr>
                <w:rFonts w:ascii="Garamond" w:hAnsi="Garamond"/>
                <w:szCs w:val="22"/>
                <w:highlight w:val="yellow"/>
              </w:rPr>
              <w:t>определенных на основании Сводного прогнозного баланса</w:t>
            </w:r>
            <w:r w:rsidR="00581B35" w:rsidRPr="00317726">
              <w:rPr>
                <w:rFonts w:ascii="Garamond" w:hAnsi="Garamond"/>
                <w:szCs w:val="22"/>
              </w:rPr>
              <w:t xml:space="preserve"> </w:t>
            </w:r>
            <w:r w:rsidR="007D353E" w:rsidRPr="00317726">
              <w:rPr>
                <w:rFonts w:ascii="Garamond" w:hAnsi="Garamond"/>
                <w:szCs w:val="22"/>
              </w:rPr>
              <w:t xml:space="preserve">предварительных месячных объемов поставки мощности для поставщиков за месяц </w:t>
            </w:r>
            <w:r w:rsidR="007D353E" w:rsidRPr="0031772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="007D353E" w:rsidRPr="00317726">
              <w:rPr>
                <w:rFonts w:ascii="Garamond" w:hAnsi="Garamond"/>
                <w:szCs w:val="22"/>
              </w:rPr>
              <w:t xml:space="preserve"> к суммарному объему потребления мощности населением и </w:t>
            </w:r>
            <w:proofErr w:type="spellStart"/>
            <w:r w:rsidR="007D353E" w:rsidRPr="00317726">
              <w:rPr>
                <w:rFonts w:ascii="Garamond" w:hAnsi="Garamond"/>
                <w:szCs w:val="22"/>
              </w:rPr>
              <w:t>ненаселением</w:t>
            </w:r>
            <w:proofErr w:type="spellEnd"/>
            <w:r w:rsidR="007D353E" w:rsidRPr="00317726">
              <w:rPr>
                <w:rFonts w:ascii="Garamond" w:hAnsi="Garamond"/>
                <w:szCs w:val="22"/>
              </w:rPr>
              <w:t xml:space="preserve"> в месяце </w:t>
            </w:r>
            <w:r w:rsidR="007D353E" w:rsidRPr="0031772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="007D353E" w:rsidRPr="00317726">
              <w:rPr>
                <w:rFonts w:ascii="Garamond" w:hAnsi="Garamond"/>
                <w:szCs w:val="22"/>
              </w:rPr>
              <w:t xml:space="preserve"> по соответствую</w:t>
            </w:r>
            <w:r w:rsidR="007D353E">
              <w:rPr>
                <w:rFonts w:ascii="Garamond" w:hAnsi="Garamond"/>
                <w:szCs w:val="22"/>
              </w:rPr>
              <w:t>щей ценовой зоне оптового рынка</w:t>
            </w:r>
            <w:r w:rsidR="003329C4">
              <w:rPr>
                <w:rFonts w:ascii="Garamond" w:hAnsi="Garamond"/>
                <w:szCs w:val="22"/>
                <w:highlight w:val="yellow"/>
              </w:rPr>
              <w:t>.</w:t>
            </w:r>
            <w:r w:rsidR="00172510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172510" w:rsidRPr="00172510">
              <w:rPr>
                <w:rFonts w:ascii="Garamond" w:hAnsi="Garamond"/>
                <w:szCs w:val="22"/>
                <w:highlight w:val="yellow"/>
              </w:rPr>
              <w:t>При этом в период до 31 декабря 2028 года включительно указанный коэффициент резервирования рассчитывается для покупателей второй ценовой зоны без учета объемов мощности для поставки населению и (или) приравненным к нему категориям потребителей на отдельных территориях, ранее относившихся к неценовым зонам</w:t>
            </w:r>
            <w:r w:rsidR="00C23828">
              <w:rPr>
                <w:rFonts w:ascii="Garamond" w:hAnsi="Garamond"/>
                <w:szCs w:val="22"/>
                <w:highlight w:val="yellow"/>
              </w:rPr>
              <w:t>;</w:t>
            </w:r>
          </w:p>
          <w:p w14:paraId="26CEA8C0" w14:textId="2B265A61" w:rsidR="005442E8" w:rsidRPr="00A30283" w:rsidRDefault="007349DA" w:rsidP="00581B35">
            <w:pPr>
              <w:pStyle w:val="subclauseindent"/>
              <w:widowControl w:val="0"/>
              <w:numPr>
                <w:ilvl w:val="1"/>
                <w:numId w:val="2"/>
              </w:numPr>
              <w:tabs>
                <w:tab w:val="clear" w:pos="1866"/>
              </w:tabs>
              <w:ind w:left="1033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>для</w:t>
            </w:r>
            <w:r w:rsidR="00A30283" w:rsidRPr="00F76FFA">
              <w:rPr>
                <w:rFonts w:ascii="Garamond" w:hAnsi="Garamond"/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</w:t>
            </w:r>
            <w:r w:rsidR="00AD36AB">
              <w:rPr>
                <w:rFonts w:ascii="Garamond" w:hAnsi="Garamond"/>
                <w:szCs w:val="22"/>
                <w:highlight w:val="yellow"/>
              </w:rPr>
              <w:t>,</w:t>
            </w:r>
            <w:r w:rsidR="00A30283" w:rsidRPr="00F76FFA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Cs w:val="22"/>
                <w:highlight w:val="yellow"/>
              </w:rPr>
              <w:t xml:space="preserve">в период </w:t>
            </w:r>
            <w:r w:rsidRPr="00F76FFA">
              <w:rPr>
                <w:rFonts w:ascii="Garamond" w:hAnsi="Garamond"/>
                <w:szCs w:val="22"/>
                <w:highlight w:val="yellow"/>
              </w:rPr>
              <w:t>до 31.12.2028</w:t>
            </w:r>
            <w:r>
              <w:rPr>
                <w:rFonts w:ascii="Garamond" w:hAnsi="Garamond"/>
                <w:szCs w:val="22"/>
                <w:highlight w:val="yellow"/>
              </w:rPr>
              <w:t xml:space="preserve"> включительно</w:t>
            </w:r>
            <w:r w:rsidRPr="00F76FFA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A30283" w:rsidRPr="00F76FFA">
              <w:rPr>
                <w:rFonts w:ascii="Garamond" w:hAnsi="Garamond"/>
                <w:szCs w:val="22"/>
                <w:highlight w:val="yellow"/>
              </w:rPr>
              <w:t xml:space="preserve">– как отношение </w:t>
            </w:r>
            <w:r w:rsidR="00F76FFA" w:rsidRPr="00F76FFA">
              <w:rPr>
                <w:rFonts w:ascii="Garamond" w:hAnsi="Garamond"/>
                <w:szCs w:val="22"/>
                <w:highlight w:val="yellow"/>
              </w:rPr>
              <w:t xml:space="preserve">суммы </w:t>
            </w:r>
            <w:r w:rsidR="00581B35" w:rsidRPr="00F76FFA">
              <w:rPr>
                <w:rFonts w:ascii="Garamond" w:hAnsi="Garamond"/>
                <w:szCs w:val="22"/>
                <w:highlight w:val="yellow"/>
              </w:rPr>
              <w:t>определенных на основании Сводного прогнозного баланса</w:t>
            </w:r>
            <w:r w:rsidR="00581B35" w:rsidRPr="00F76FFA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F76FFA" w:rsidRPr="00F76FFA">
              <w:rPr>
                <w:rFonts w:ascii="Garamond" w:hAnsi="Garamond"/>
                <w:szCs w:val="22"/>
                <w:highlight w:val="yellow"/>
              </w:rPr>
              <w:t xml:space="preserve">предварительных месячных объемов поставки мощности для поставщиков за месяц </w:t>
            </w:r>
            <w:r w:rsidR="00F76FFA" w:rsidRPr="00F76FFA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r w:rsidR="00F76FFA" w:rsidRPr="00F76FFA">
              <w:rPr>
                <w:rFonts w:ascii="Garamond" w:hAnsi="Garamond"/>
                <w:szCs w:val="22"/>
                <w:highlight w:val="yellow"/>
              </w:rPr>
              <w:t xml:space="preserve"> к суммарному объему потребления мощности населением в месяце </w:t>
            </w:r>
            <w:r w:rsidR="00F76FFA" w:rsidRPr="00F76FFA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bookmarkStart w:id="67" w:name="_GoBack"/>
            <w:bookmarkEnd w:id="67"/>
            <w:r w:rsidR="00F76FFA" w:rsidRPr="00F76FFA">
              <w:rPr>
                <w:rFonts w:ascii="Garamond" w:hAnsi="Garamond"/>
                <w:szCs w:val="22"/>
                <w:highlight w:val="yellow"/>
              </w:rPr>
              <w:t xml:space="preserve"> по указанной </w:t>
            </w:r>
            <w:r w:rsidR="00A30283" w:rsidRPr="00F76FFA">
              <w:rPr>
                <w:rFonts w:ascii="Garamond" w:hAnsi="Garamond"/>
                <w:szCs w:val="22"/>
                <w:highlight w:val="yellow"/>
              </w:rPr>
              <w:t>территории.</w:t>
            </w:r>
          </w:p>
        </w:tc>
      </w:tr>
      <w:tr w:rsidR="00A8012C" w:rsidRPr="00781561" w14:paraId="538099DF" w14:textId="77777777" w:rsidTr="008D3388">
        <w:tc>
          <w:tcPr>
            <w:tcW w:w="988" w:type="dxa"/>
            <w:vAlign w:val="center"/>
          </w:tcPr>
          <w:p w14:paraId="07FB2AFB" w14:textId="77777777" w:rsidR="00A8012C" w:rsidRDefault="00A8012C" w:rsidP="008D338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  <w:vAlign w:val="center"/>
          </w:tcPr>
          <w:p w14:paraId="49AC98CE" w14:textId="77777777" w:rsidR="00A8012C" w:rsidRPr="00A8012C" w:rsidRDefault="00A8012C" w:rsidP="00C23828">
            <w:pPr>
              <w:pStyle w:val="2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8012C">
              <w:rPr>
                <w:rFonts w:ascii="Garamond" w:hAnsi="Garamond"/>
                <w:sz w:val="22"/>
                <w:szCs w:val="22"/>
              </w:rPr>
              <w:t xml:space="preserve">3.  Расчет схемы прикрепления по </w:t>
            </w:r>
            <w:proofErr w:type="spellStart"/>
            <w:r w:rsidRPr="00A8012C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</w:p>
          <w:p w14:paraId="7D6EE475" w14:textId="77777777" w:rsidR="00A36837" w:rsidRPr="00A36837" w:rsidRDefault="00A36837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Расчет схемы прикрепления по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производится таким образом, чтобы при выполнении стоимостных и объемных ограничений, указанных в пунктах 3.1, 3.2, 3.3 настоящего приложения, суммарный по ценовой зоне объем поставки электрической энергии и мощности между покупателями и продавцами по регулируемым договорам, расположенными в разных субъектах РФ, достигал минимального значения, то есть, чтобы величина целевой функции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object w:dxaOrig="400" w:dyaOrig="340" w14:anchorId="19A6AE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4.25pt" o:ole="">
                  <v:imagedata r:id="rId5" o:title=""/>
                </v:shape>
                <o:OLEObject Type="Embed" ProgID="Equation.3" ShapeID="_x0000_i1025" DrawAspect="Content" ObjectID="_1791026014" r:id="rId6"/>
              </w:objec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достигала минимума. </w:t>
            </w:r>
          </w:p>
          <w:p w14:paraId="223F639A" w14:textId="77777777" w:rsidR="00A36837" w:rsidRPr="00A36837" w:rsidRDefault="00A36837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Целевая функция определяется для каждой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ЦЗ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object w:dxaOrig="200" w:dyaOrig="200" w14:anchorId="2A7D2CFD">
                <v:shape id="_x0000_i1026" type="#_x0000_t75" style="width:11.55pt;height:12.25pt" o:ole="">
                  <v:imagedata r:id="rId7" o:title=""/>
                </v:shape>
                <o:OLEObject Type="Embed" ProgID="Equation.3" ShapeID="_x0000_i1026" DrawAspect="Content" ObjectID="_1791026015" r:id="rId8"/>
              </w:objec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следующим образом:</w:t>
            </w:r>
          </w:p>
          <w:p w14:paraId="74DCD19A" w14:textId="77777777" w:rsidR="00A36837" w:rsidRPr="00A36837" w:rsidRDefault="00581B35" w:rsidP="00C23828">
            <w:pPr>
              <w:spacing w:before="120" w:after="120"/>
              <w:ind w:left="-174" w:hanging="174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lang w:val="en-US" w:eastAsia="en-US"/>
                      </w:rPr>
                      <m:t>TF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i∈z,j∈z,∀h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ij,h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межрегион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i∈z,j∈z,∀m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ij,m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межрегион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j∈z,∀m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j,m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нас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j,m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ненас</m:t>
                            </m:r>
                          </m:sup>
                        </m:sSubSup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r∈z,∀m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r,m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расп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,</m:t>
                </m:r>
              </m:oMath>
            </m:oMathPara>
          </w:p>
          <w:p w14:paraId="5661E5CC" w14:textId="77777777" w:rsidR="00A36837" w:rsidRPr="00A36837" w:rsidRDefault="00A36837" w:rsidP="00C23828">
            <w:pPr>
              <w:spacing w:before="120" w:after="120"/>
              <w:ind w:left="437" w:hanging="43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где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object w:dxaOrig="940" w:dyaOrig="400" w14:anchorId="1F33A6A7">
                <v:shape id="_x0000_i1027" type="#_x0000_t75" style="width:46.2pt;height:20.4pt" o:ole="">
                  <v:imagedata r:id="rId9" o:title=""/>
                </v:shape>
                <o:OLEObject Type="Embed" ProgID="Equation.3" ShapeID="_x0000_i1027" DrawAspect="Content" ObjectID="_1791026016" r:id="rId10"/>
              </w:objec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– объем электрической энергии, поставляемый  населению и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ненаселению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поставщиком </w:t>
            </w:r>
            <w:proofErr w:type="spellStart"/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i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потребителю </w:t>
            </w:r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j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в том случае, когда поставщик и потребитель расположены в разных субъектах РФ;</w:t>
            </w:r>
          </w:p>
          <w:p w14:paraId="04B9AFD6" w14:textId="7E1AACC7" w:rsidR="00A36837" w:rsidRPr="00A36837" w:rsidRDefault="00A36837" w:rsidP="00C2382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object w:dxaOrig="940" w:dyaOrig="400" w14:anchorId="1B8D05C0">
                <v:shape id="_x0000_i1028" type="#_x0000_t75" style="width:46.2pt;height:20.4pt" o:ole="">
                  <v:imagedata r:id="rId11" o:title=""/>
                </v:shape>
                <o:OLEObject Type="Embed" ProgID="Equation.3" ShapeID="_x0000_i1028" DrawAspect="Content" ObjectID="_1791026017" r:id="rId12"/>
              </w:objec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– объем поставки мощности, поставляемый</w:t>
            </w:r>
            <w:r w:rsidR="00424B9C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населению и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ненаселению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поставщиком </w:t>
            </w:r>
            <w:proofErr w:type="spellStart"/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i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потребителю </w:t>
            </w:r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j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в том случае, когда поставщик и потребитель расположены в разных субъектах РФ</w:t>
            </w:r>
            <w:r w:rsidRPr="00A36837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</w:t>
            </w:r>
          </w:p>
          <w:p w14:paraId="629B475B" w14:textId="77777777" w:rsidR="00A8012C" w:rsidRDefault="00A8012C" w:rsidP="00C23828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</w:p>
          <w:p w14:paraId="7A0D6B1C" w14:textId="77777777" w:rsidR="000631E1" w:rsidRDefault="000631E1" w:rsidP="00C23828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</w:p>
          <w:p w14:paraId="6FD31771" w14:textId="77777777" w:rsidR="000631E1" w:rsidRDefault="000631E1" w:rsidP="00C23828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</w:p>
          <w:p w14:paraId="10373713" w14:textId="77777777" w:rsidR="000631E1" w:rsidRPr="000F5DB0" w:rsidRDefault="000631E1" w:rsidP="00C23828">
            <w:pPr>
              <w:pStyle w:val="3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</w:p>
        </w:tc>
        <w:tc>
          <w:tcPr>
            <w:tcW w:w="7045" w:type="dxa"/>
          </w:tcPr>
          <w:p w14:paraId="31489278" w14:textId="77777777" w:rsidR="00A8012C" w:rsidRPr="00A8012C" w:rsidRDefault="00A8012C" w:rsidP="00C23828">
            <w:pPr>
              <w:pStyle w:val="2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8012C">
              <w:rPr>
                <w:rFonts w:ascii="Garamond" w:hAnsi="Garamond"/>
                <w:sz w:val="22"/>
                <w:szCs w:val="22"/>
              </w:rPr>
              <w:t xml:space="preserve">3.  Расчет схемы прикрепления по </w:t>
            </w:r>
            <w:proofErr w:type="spellStart"/>
            <w:r w:rsidRPr="00A8012C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</w:p>
          <w:p w14:paraId="4827D2C5" w14:textId="5D376E0B" w:rsidR="00A36837" w:rsidRPr="00A36837" w:rsidRDefault="00A36837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Расчет схемы прикрепления по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производится таким образом, чтобы при выполнении стоимостных и объемных ограничений, указанных в пунктах 3.1, 3.2, 3.3 настоящего приложения, суммарный по ценовой зоне</w:t>
            </w:r>
            <w:r w:rsidR="003329C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3329C4" w:rsidRPr="003329C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второй ценовой зоны – </w:t>
            </w:r>
            <w:r w:rsidR="003329C4" w:rsidRPr="003329C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зонам)</w:t>
            </w:r>
            <w:r w:rsidRPr="00BF143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или</w:t>
            </w:r>
            <w:r w:rsidR="00424B9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</w:t>
            </w:r>
            <w:r w:rsidRPr="00B206A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</w:t>
            </w:r>
            <w:r w:rsidRPr="00DC61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ходящей в состав Дальневосточного федерального округа отдельной территории, ранее относившейся к неценовым зонам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424B9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объем поставки электрической энергии и мощности между покупателями и продавцами по регулируемым договорам, расположенными в разных субъектах РФ, достигал минимального значения, то есть, чтобы величина целевой функции </w:t>
            </w:r>
            <m:oMath>
              <m:r>
                <w:rPr>
                  <w:rFonts w:ascii="Cambria Math" w:hAnsi="Garamond"/>
                  <w:sz w:val="22"/>
                  <w:szCs w:val="20"/>
                  <w:lang w:eastAsia="en-US"/>
                </w:rPr>
                <m:t>T</m:t>
              </m:r>
              <m:sSub>
                <m:sSubPr>
                  <m:ctrlPr>
                    <w:rPr>
                      <w:rFonts w:ascii="Cambria Math" w:hAnsi="Garamond"/>
                      <w:i/>
                      <w:sz w:val="22"/>
                      <w:szCs w:val="2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Garamond"/>
                      <w:sz w:val="22"/>
                      <w:szCs w:val="20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0"/>
                      <w:lang w:eastAsia="en-US"/>
                    </w:rPr>
                    <m:t>z</m:t>
                  </m:r>
                </m:sub>
              </m:sSub>
            </m:oMath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достигала минимума. </w:t>
            </w:r>
          </w:p>
          <w:p w14:paraId="3ACDACDA" w14:textId="5FA9DA0D" w:rsidR="00A36837" w:rsidRPr="00A36837" w:rsidRDefault="00A36837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Целевая функция определяется для каждой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ЦЗ</w:t>
            </w:r>
            <w:proofErr w:type="spellEnd"/>
            <w:r w:rsidR="003329C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3329C4" w:rsidRPr="003329C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второй ценовой зоны – </w:t>
            </w:r>
            <w:r w:rsidR="003329C4" w:rsidRPr="003329C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зонам)</w:t>
            </w:r>
            <w:r w:rsidRPr="00BF1438">
              <w:rPr>
                <w:rFonts w:ascii="Garamond" w:hAnsi="Garamond"/>
                <w:sz w:val="22"/>
                <w:szCs w:val="22"/>
                <w:highlight w:val="yellow"/>
              </w:rPr>
              <w:t>, а</w:t>
            </w:r>
            <w:r w:rsidRPr="00B206AA">
              <w:rPr>
                <w:rFonts w:ascii="Garamond" w:hAnsi="Garamond"/>
                <w:sz w:val="22"/>
                <w:szCs w:val="22"/>
                <w:highlight w:val="yellow"/>
              </w:rPr>
              <w:t xml:space="preserve"> также </w:t>
            </w:r>
            <w:r w:rsidR="003329C4">
              <w:rPr>
                <w:rFonts w:ascii="Garamond" w:hAnsi="Garamond"/>
                <w:sz w:val="22"/>
                <w:szCs w:val="22"/>
                <w:highlight w:val="yellow"/>
              </w:rPr>
              <w:t>для</w:t>
            </w:r>
            <w:r w:rsidR="00424B9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B206A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 w:rsidRPr="00DC61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ходящей в состав Дальневосточного федерального округа отдельной территории, ранее относившейся к неценовым зонам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424B9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Garamond"/>
                  <w:sz w:val="22"/>
                  <w:szCs w:val="20"/>
                  <w:lang w:eastAsia="en-US"/>
                </w:rPr>
                <m:t>z</m:t>
              </m:r>
            </m:oMath>
            <w:r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следующим образом:</w:t>
            </w:r>
          </w:p>
          <w:p w14:paraId="7F6D0680" w14:textId="77777777" w:rsidR="00A36837" w:rsidRPr="00A36837" w:rsidRDefault="00581B35" w:rsidP="00C23828">
            <w:pPr>
              <w:spacing w:before="120" w:after="120"/>
              <w:ind w:left="-174" w:hanging="174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lang w:val="en-US" w:eastAsia="en-US"/>
                      </w:rPr>
                      <m:t>TF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i∈z,j∈z,∀h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ij,h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межрегион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lang w:eastAsia="en-US"/>
                      </w:rPr>
                      <m:t>i∈z,j∈z,∀m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ij,m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межрегион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lang w:eastAsia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j∈z,∀m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j,m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нас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j,m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ненас</m:t>
                            </m:r>
                          </m:sup>
                        </m:sSubSup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0"/>
                            <w:lang w:eastAsia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0"/>
                            <w:lang w:eastAsia="en-US"/>
                          </w:rPr>
                          <m:t>r∈z,∀m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0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r,m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0"/>
                                <w:lang w:eastAsia="en-US"/>
                              </w:rPr>
                              <m:t>расп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0"/>
                    <w:lang w:eastAsia="en-US"/>
                  </w:rPr>
                  <m:t>,</m:t>
                </m:r>
              </m:oMath>
            </m:oMathPara>
          </w:p>
          <w:p w14:paraId="149F5E81" w14:textId="4BF8B663" w:rsidR="00A36837" w:rsidRPr="00A36837" w:rsidRDefault="00A36837" w:rsidP="00C23828">
            <w:pPr>
              <w:spacing w:before="120" w:after="120"/>
              <w:ind w:left="437" w:hanging="437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0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ij,</m:t>
                  </m:r>
                  <m:r>
                    <w:rPr>
                      <w:rFonts w:ascii="Cambria Math" w:hAnsi="Cambria Math" w:cs="Cambria Math"/>
                      <w:sz w:val="22"/>
                      <w:szCs w:val="20"/>
                      <w:lang w:eastAsia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межрегион</m:t>
                  </m:r>
                </m:sup>
              </m:sSubSup>
            </m:oMath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– объем электрической энергии, поставляемый</w:t>
            </w:r>
            <w:r w:rsidR="00424B9C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населению и </w:t>
            </w:r>
            <w:proofErr w:type="spellStart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>ненаселению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поставщиком </w:t>
            </w:r>
            <w:proofErr w:type="spellStart"/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i</w:t>
            </w:r>
            <w:proofErr w:type="spellEnd"/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потребителю </w:t>
            </w:r>
            <w:r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j</w:t>
            </w:r>
            <w:r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в том случае, когда поставщик и потребитель расположены в разных субъектах РФ;</w:t>
            </w:r>
          </w:p>
          <w:p w14:paraId="40F93409" w14:textId="1F210647" w:rsidR="00A36837" w:rsidRDefault="00581B35" w:rsidP="00C2382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0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ij,m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межрегион</m:t>
                  </m:r>
                </m:sup>
              </m:sSubSup>
            </m:oMath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– объем поставки мощности, поставляемый</w:t>
            </w:r>
            <w:r w:rsidR="00424B9C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населению и </w:t>
            </w:r>
            <w:proofErr w:type="spellStart"/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>ненаселению</w:t>
            </w:r>
            <w:proofErr w:type="spellEnd"/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поставщиком </w:t>
            </w:r>
            <w:proofErr w:type="spellStart"/>
            <w:r w:rsidR="00A36837"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i</w:t>
            </w:r>
            <w:proofErr w:type="spellEnd"/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потребителю </w:t>
            </w:r>
            <w:r w:rsidR="00A36837" w:rsidRPr="00A36837">
              <w:rPr>
                <w:rFonts w:ascii="Garamond" w:hAnsi="Garamond"/>
                <w:i/>
                <w:sz w:val="22"/>
                <w:szCs w:val="20"/>
                <w:lang w:val="en-US" w:eastAsia="en-US"/>
              </w:rPr>
              <w:t>j</w:t>
            </w:r>
            <w:r w:rsidR="00A36837" w:rsidRPr="00A36837">
              <w:rPr>
                <w:rFonts w:ascii="Garamond" w:hAnsi="Garamond"/>
                <w:sz w:val="22"/>
                <w:szCs w:val="20"/>
                <w:lang w:eastAsia="en-US"/>
              </w:rPr>
              <w:t xml:space="preserve"> в том случае, когда поставщик и потребитель расположены в разных субъектах РФ</w:t>
            </w:r>
            <w:r w:rsidR="00A36837" w:rsidRPr="00A36837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;</w:t>
            </w:r>
          </w:p>
          <w:p w14:paraId="334E0773" w14:textId="2024809F" w:rsidR="00A8012C" w:rsidRPr="000F5DB0" w:rsidRDefault="00C23828" w:rsidP="00C23828">
            <w:pPr>
              <w:pStyle w:val="3"/>
              <w:numPr>
                <w:ilvl w:val="0"/>
                <w:numId w:val="0"/>
              </w:numPr>
              <w:ind w:left="466"/>
              <w:rPr>
                <w:rFonts w:ascii="Garamond" w:hAnsi="Garamond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Garamond"/>
                  <w:szCs w:val="22"/>
                  <w:highlight w:val="yellow"/>
                </w:rPr>
                <m:t>z</m:t>
              </m:r>
            </m:oMath>
            <w:r w:rsidR="00A36837" w:rsidRPr="00A36837">
              <w:rPr>
                <w:rFonts w:ascii="Garamond" w:hAnsi="Garamond"/>
                <w:b w:val="0"/>
                <w:bCs/>
                <w:szCs w:val="22"/>
                <w:highlight w:val="yellow"/>
              </w:rPr>
              <w:t xml:space="preserve"> </w:t>
            </w:r>
            <w:r w:rsidR="00A36837" w:rsidRPr="00A36837">
              <w:rPr>
                <w:rFonts w:ascii="Garamond" w:hAnsi="Garamond"/>
                <w:b w:val="0"/>
                <w:bCs/>
                <w:szCs w:val="22"/>
                <w:highlight w:val="yellow"/>
                <w:lang w:eastAsia="ru-RU"/>
              </w:rPr>
              <w:t>–</w:t>
            </w:r>
            <w:r w:rsidR="00A36837" w:rsidRPr="00A36837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 xml:space="preserve"> </w:t>
            </w:r>
            <w:r w:rsidR="00B206AA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ценовая зона оптового рынка (</w:t>
            </w:r>
            <w:r w:rsidR="004A7DA9" w:rsidRPr="004A7DA9">
              <w:rPr>
                <w:rFonts w:ascii="Garamond" w:hAnsi="Garamond"/>
                <w:b w:val="0"/>
                <w:szCs w:val="22"/>
                <w:highlight w:val="yellow"/>
              </w:rPr>
              <w:t xml:space="preserve">для второй ценовой зоны – </w:t>
            </w:r>
            <w:r w:rsidR="00B206AA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 xml:space="preserve">) </w:t>
            </w:r>
            <w:r w:rsidR="004A7DA9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 xml:space="preserve">или 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входящ</w:t>
            </w:r>
            <w:r w:rsid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ая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 xml:space="preserve"> в состав Дальневосточного федерального округа отдельн</w:t>
            </w:r>
            <w:r w:rsidR="004A7DA9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ая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 xml:space="preserve"> территори</w:t>
            </w:r>
            <w:r w:rsidR="004A7DA9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я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, ранее относивш</w:t>
            </w:r>
            <w:r w:rsidR="004A7DA9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ая</w:t>
            </w:r>
            <w:r w:rsidR="00BF1438" w:rsidRPr="00BF1438">
              <w:rPr>
                <w:rFonts w:ascii="Garamond" w:hAnsi="Garamond"/>
                <w:b w:val="0"/>
                <w:szCs w:val="22"/>
                <w:highlight w:val="yellow"/>
                <w:lang w:eastAsia="ru-RU"/>
              </w:rPr>
              <w:t>ся к неценовым зонам.</w:t>
            </w:r>
          </w:p>
        </w:tc>
      </w:tr>
      <w:tr w:rsidR="00607A4D" w:rsidRPr="00781561" w14:paraId="6AAD89C6" w14:textId="77777777" w:rsidTr="008E02FB">
        <w:tc>
          <w:tcPr>
            <w:tcW w:w="988" w:type="dxa"/>
            <w:vAlign w:val="center"/>
          </w:tcPr>
          <w:p w14:paraId="079BEAB7" w14:textId="33670D28" w:rsidR="00607A4D" w:rsidRDefault="00607A4D" w:rsidP="00C2382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6945" w:type="dxa"/>
          </w:tcPr>
          <w:p w14:paraId="038814C6" w14:textId="77777777" w:rsidR="00607A4D" w:rsidRPr="00607A4D" w:rsidRDefault="00607A4D" w:rsidP="00C23828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607A4D">
              <w:rPr>
                <w:rFonts w:ascii="Garamond" w:hAnsi="Garamond"/>
                <w:sz w:val="22"/>
                <w:szCs w:val="22"/>
              </w:rPr>
              <w:t>…</w:t>
            </w:r>
          </w:p>
          <w:p w14:paraId="16919C71" w14:textId="77777777" w:rsidR="00607A4D" w:rsidRPr="001D6094" w:rsidRDefault="006467AF" w:rsidP="00C23828">
            <w:pPr>
              <w:spacing w:before="120" w:after="120"/>
              <w:jc w:val="both"/>
            </w:pP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 xml:space="preserve">При этом для каждого месяца </w:t>
            </w:r>
            <w:r w:rsidRPr="006467AF">
              <w:rPr>
                <w:rFonts w:ascii="Garamond" w:hAnsi="Garamond"/>
                <w:i/>
                <w:sz w:val="22"/>
                <w:szCs w:val="20"/>
                <w:lang w:eastAsia="en-US"/>
              </w:rPr>
              <w:t>m’</w:t>
            </w: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 xml:space="preserve"> коэффициент, ограничивающий верхнюю границу допустимого диапазона, не должен превышать половину отношения разности совокупной по ценовой зоне стоимости электрической энергии и мощности для продавцов, определенной в соответствии с принятыми тарифными и балансовыми решениями, и совокупной по ценовой зоне стоимости электрической энергии и мощности для потребителей, определенной в соответствии с принятыми тарифными и балансовыми решениями, к среднемесячной за период регулирования по ценовой зоне совокупной стоимости электрической энергии и мощности для потребителей, определенной в соответствии с принятыми тарифными и балансовыми решениями.</w:t>
            </w:r>
          </w:p>
        </w:tc>
        <w:tc>
          <w:tcPr>
            <w:tcW w:w="7045" w:type="dxa"/>
          </w:tcPr>
          <w:p w14:paraId="6B2B4A7A" w14:textId="77777777" w:rsidR="00607A4D" w:rsidRPr="00607A4D" w:rsidRDefault="00607A4D" w:rsidP="00C23828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607A4D">
              <w:rPr>
                <w:rFonts w:ascii="Garamond" w:hAnsi="Garamond"/>
                <w:sz w:val="22"/>
                <w:szCs w:val="22"/>
              </w:rPr>
              <w:t>…</w:t>
            </w:r>
          </w:p>
          <w:p w14:paraId="76D529B2" w14:textId="1370969E" w:rsidR="00607A4D" w:rsidRPr="00A8012C" w:rsidRDefault="006467AF" w:rsidP="00C2382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 xml:space="preserve">При этом для каждого месяца </w:t>
            </w:r>
            <w:r w:rsidRPr="006467AF">
              <w:rPr>
                <w:rFonts w:ascii="Garamond" w:hAnsi="Garamond"/>
                <w:i/>
                <w:sz w:val="22"/>
                <w:szCs w:val="20"/>
                <w:lang w:eastAsia="en-US"/>
              </w:rPr>
              <w:t>m’</w:t>
            </w: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 xml:space="preserve"> коэффициент, ограничивающий верхнюю границу допустимого диапазона, не должен превышать половину отношения разности совокупной по ценовой зоне</w:t>
            </w:r>
            <w:r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607A4D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второй ценовой зоны – </w:t>
            </w:r>
            <w:r w:rsidRPr="00607A4D">
              <w:rPr>
                <w:rFonts w:ascii="Garamond" w:hAnsi="Garamond"/>
                <w:sz w:val="22"/>
                <w:szCs w:val="22"/>
                <w:highlight w:val="yellow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зонам)</w:t>
            </w:r>
            <w:r w:rsidR="00E07261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w:r w:rsidRPr="00607A4D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 w:rsidR="00C23828">
              <w:rPr>
                <w:rFonts w:ascii="Garamond" w:hAnsi="Garamond"/>
                <w:sz w:val="22"/>
                <w:szCs w:val="22"/>
              </w:rPr>
              <w:t>,</w:t>
            </w: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 xml:space="preserve"> стоимости электрической энергии и мощности для продавцов, определенной в соответствии с принятыми тарифными и балансовыми решениями, и совокупной по ценовой зоне </w:t>
            </w:r>
            <w:r w:rsidR="00164F76" w:rsidRPr="00164F7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(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второй ценовой зоны – </w:t>
            </w:r>
            <w:r w:rsidR="00164F76" w:rsidRPr="00E07261">
              <w:rPr>
                <w:rFonts w:ascii="Garamond" w:hAnsi="Garamond"/>
                <w:sz w:val="22"/>
                <w:szCs w:val="22"/>
                <w:highlight w:val="yellow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зонам)</w:t>
            </w:r>
            <w:r w:rsidR="00145D3B" w:rsidRPr="00E07261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w:r w:rsidR="00164F76" w:rsidRPr="00E07261">
              <w:rPr>
                <w:rFonts w:ascii="Garamond" w:hAnsi="Garamond"/>
                <w:sz w:val="22"/>
                <w:szCs w:val="22"/>
                <w:highlight w:val="yellow"/>
              </w:rPr>
              <w:t>входящ</w:t>
            </w:r>
            <w:r w:rsidR="00E07261">
              <w:rPr>
                <w:rFonts w:ascii="Garamond" w:hAnsi="Garamond"/>
                <w:sz w:val="22"/>
                <w:szCs w:val="22"/>
                <w:highlight w:val="yellow"/>
              </w:rPr>
              <w:t>ей</w:t>
            </w:r>
            <w:r w:rsidR="00164F76" w:rsidRPr="00E07261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состав Дальневосточного федерального округа отдельной территории, ранее относившейся к неценовым зонам</w:t>
            </w:r>
            <w:r w:rsidR="00E07261" w:rsidRPr="00E07261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164F76" w:rsidRPr="00E0726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07261">
              <w:rPr>
                <w:rFonts w:ascii="Garamond" w:hAnsi="Garamond"/>
                <w:sz w:val="22"/>
                <w:szCs w:val="22"/>
                <w:lang w:eastAsia="en-US"/>
              </w:rPr>
              <w:t>с</w:t>
            </w:r>
            <w:r w:rsidRPr="006467AF">
              <w:rPr>
                <w:rFonts w:ascii="Garamond" w:hAnsi="Garamond"/>
                <w:sz w:val="22"/>
                <w:szCs w:val="20"/>
                <w:lang w:eastAsia="en-US"/>
              </w:rPr>
              <w:t>тоимости электрической энергии и мощности для потребителей, определенной в соответствии с принятыми тарифными и балансовыми решениями, к среднемесячной за период регулирования по ценовой зоне совокупной стоимости электрической энергии и мощности для потребителей, определенной в соответствии с принятыми тарифными и балансовыми решениями.</w:t>
            </w:r>
          </w:p>
        </w:tc>
      </w:tr>
      <w:tr w:rsidR="00737989" w:rsidRPr="00781561" w14:paraId="3FEA2B4B" w14:textId="77777777" w:rsidTr="008E02FB">
        <w:tc>
          <w:tcPr>
            <w:tcW w:w="988" w:type="dxa"/>
            <w:vAlign w:val="center"/>
          </w:tcPr>
          <w:p w14:paraId="1E8B515D" w14:textId="0CA93FA1" w:rsidR="00737989" w:rsidRDefault="00737989" w:rsidP="00607A4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C5077E">
              <w:rPr>
                <w:rFonts w:ascii="Garamond" w:hAnsi="Garamond"/>
                <w:b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6945" w:type="dxa"/>
          </w:tcPr>
          <w:p w14:paraId="61BD2DDB" w14:textId="77777777" w:rsidR="00737989" w:rsidRPr="00737989" w:rsidRDefault="00737989" w:rsidP="00C23828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Стоимость электрической энергии и мощности по совокупности всех определенных для потребителя j, для которого применяется ограничение на распределение объемов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по генерирующим компаниям, регулируемых договоров со всеми станциями генерирующей компании G за период регулирования должна лежать в допустимых пределах от величины совокупной стоимости объема потребления электрической энергии, определенной в Сводном прогнозном балансе по индикативной цене на электрическую энергию, и объема оплачиваемого сальдо перетока мощности, определенного в Сводном прогнозном балансе по индикативной цене на мощность, умноженной на долю стоимости поставляемой генерирующей компанией G по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электрической энергии и мощности, в стоимость поставляемой по </w:t>
            </w:r>
            <w:r w:rsidRPr="00737989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ценовой зоне</w:t>
            </w:r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по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электрической энергии и мощности.</w:t>
            </w:r>
          </w:p>
        </w:tc>
        <w:tc>
          <w:tcPr>
            <w:tcW w:w="7045" w:type="dxa"/>
          </w:tcPr>
          <w:p w14:paraId="319518EE" w14:textId="77777777" w:rsidR="00737989" w:rsidRPr="00607A4D" w:rsidRDefault="00737989" w:rsidP="00C2382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Стоимость электрической энергии и мощности по совокупности всех определенных для потребителя j, для которого применяется ограничение на распределение объемов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по генерирующим компаниям, регулируемых договоров со всеми станциями генерирующей компании G за период регулирования должна лежать в допустимых пределах от величины совокупной стоимости объема потребления электрической энергии, определенной в Сводном прогнозном балансе по индикативной цене на электрическую энергию, и объема оплачиваемого сальдо перетока мощности, определенного в Сводном прогнозном балансе по индикативной цене на мощность, умноженной на долю стоимости поставляемой генерирующей компанией G по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электрической энергии и мощности, в стоимость поставляемой по ценовой зоне</w:t>
            </w:r>
            <w:r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164F7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(</w:t>
            </w:r>
            <w:r w:rsidR="004A7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второй ценовой зоны – </w:t>
            </w:r>
            <w:r w:rsidRPr="00E07261">
              <w:rPr>
                <w:rFonts w:ascii="Garamond" w:hAnsi="Garamond"/>
                <w:sz w:val="22"/>
                <w:szCs w:val="22"/>
                <w:highlight w:val="yellow"/>
              </w:rPr>
              <w:t>за исключением входящей в состав Дальневосточного федерального округа отдельной территории, ранее относившейся к неценовым зонам) или входящ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ей</w:t>
            </w:r>
            <w:r w:rsidRPr="00E07261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состав Дальневосточного федерального округа отдельной территории, ранее относившейся к неценовым зонам,</w:t>
            </w:r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по </w:t>
            </w:r>
            <w:proofErr w:type="spellStart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>РД</w:t>
            </w:r>
            <w:proofErr w:type="spellEnd"/>
            <w:r w:rsidRPr="00737989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электрической энергии и мощности.</w:t>
            </w:r>
          </w:p>
        </w:tc>
      </w:tr>
      <w:tr w:rsidR="00B4353C" w:rsidRPr="00781561" w14:paraId="21742E5C" w14:textId="77777777" w:rsidTr="008E02FB">
        <w:tc>
          <w:tcPr>
            <w:tcW w:w="988" w:type="dxa"/>
            <w:vAlign w:val="center"/>
          </w:tcPr>
          <w:p w14:paraId="158BA501" w14:textId="545E127F" w:rsidR="00B4353C" w:rsidRDefault="00C405D1" w:rsidP="00607A4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6945" w:type="dxa"/>
          </w:tcPr>
          <w:p w14:paraId="2945D927" w14:textId="77777777" w:rsidR="00B4353C" w:rsidRPr="001D6094" w:rsidRDefault="00B4353C" w:rsidP="00C23828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3.4. </w:t>
            </w:r>
            <w:r w:rsidRPr="001D6094">
              <w:rPr>
                <w:rFonts w:ascii="Garamond" w:hAnsi="Garamond"/>
                <w:szCs w:val="22"/>
              </w:rPr>
              <w:t xml:space="preserve">Формирование схемы прикрепления по </w:t>
            </w:r>
            <w:proofErr w:type="spellStart"/>
            <w:r w:rsidRPr="001D6094">
              <w:rPr>
                <w:rFonts w:ascii="Garamond" w:hAnsi="Garamond"/>
                <w:szCs w:val="22"/>
              </w:rPr>
              <w:t>РД</w:t>
            </w:r>
            <w:proofErr w:type="spellEnd"/>
          </w:p>
          <w:p w14:paraId="77A87313" w14:textId="77777777" w:rsidR="002A2CC1" w:rsidRPr="001D6094" w:rsidRDefault="002A2CC1" w:rsidP="00C23828">
            <w:pPr>
              <w:pStyle w:val="Iauiue"/>
              <w:spacing w:before="120" w:after="120"/>
              <w:ind w:left="-13" w:firstLine="580"/>
              <w:jc w:val="both"/>
              <w:rPr>
                <w:rFonts w:ascii="Garamond" w:hAnsi="Garamond"/>
                <w:sz w:val="22"/>
                <w:szCs w:val="22"/>
              </w:rPr>
            </w:pPr>
            <w:r w:rsidRPr="001D6094">
              <w:rPr>
                <w:rFonts w:ascii="Garamond" w:hAnsi="Garamond"/>
                <w:sz w:val="22"/>
                <w:szCs w:val="22"/>
              </w:rPr>
              <w:t xml:space="preserve">Схема прикрепления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является объединением результатов формирования схемы прикрепления по населению и схемы прикрепления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ненаселению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с учетом применения коэффициентов отнесения объемов поставки электрической энергии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для ГТП потребления и коэффициентов отнесения выработки электрической энергии по станциям.</w:t>
            </w:r>
          </w:p>
          <w:p w14:paraId="14538BCD" w14:textId="77777777" w:rsidR="00B4353C" w:rsidRDefault="00B4353C" w:rsidP="00C23828">
            <w:pPr>
              <w:spacing w:before="120" w:after="120"/>
              <w:jc w:val="center"/>
            </w:pPr>
            <w:r>
              <w:t>…</w:t>
            </w:r>
          </w:p>
        </w:tc>
        <w:tc>
          <w:tcPr>
            <w:tcW w:w="7045" w:type="dxa"/>
          </w:tcPr>
          <w:p w14:paraId="64270087" w14:textId="77777777" w:rsidR="00B4353C" w:rsidRPr="001D6094" w:rsidRDefault="00B4353C" w:rsidP="00C23828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3.4. </w:t>
            </w:r>
            <w:r w:rsidRPr="001D6094">
              <w:rPr>
                <w:rFonts w:ascii="Garamond" w:hAnsi="Garamond"/>
                <w:szCs w:val="22"/>
              </w:rPr>
              <w:t xml:space="preserve">Формирование схемы прикрепления по </w:t>
            </w:r>
            <w:proofErr w:type="spellStart"/>
            <w:r w:rsidRPr="001D6094">
              <w:rPr>
                <w:rFonts w:ascii="Garamond" w:hAnsi="Garamond"/>
                <w:szCs w:val="22"/>
              </w:rPr>
              <w:t>РД</w:t>
            </w:r>
            <w:proofErr w:type="spellEnd"/>
          </w:p>
          <w:p w14:paraId="474C18B4" w14:textId="77777777" w:rsidR="002A2CC1" w:rsidRPr="001D6094" w:rsidRDefault="002A2CC1" w:rsidP="00C23828">
            <w:pPr>
              <w:pStyle w:val="Iauiue"/>
              <w:spacing w:before="120" w:after="120"/>
              <w:ind w:left="-13" w:firstLine="580"/>
              <w:jc w:val="both"/>
              <w:rPr>
                <w:rFonts w:ascii="Garamond" w:hAnsi="Garamond"/>
                <w:sz w:val="22"/>
                <w:szCs w:val="22"/>
              </w:rPr>
            </w:pPr>
            <w:r w:rsidRPr="001D6094">
              <w:rPr>
                <w:rFonts w:ascii="Garamond" w:hAnsi="Garamond"/>
                <w:sz w:val="22"/>
                <w:szCs w:val="22"/>
              </w:rPr>
              <w:t xml:space="preserve">Схема прикрепления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является объединением результатов формирования схемы прикрепления по населению и схемы прикрепления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ненаселению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с учетом применения коэффициентов отнесения объемов поставки электрической энергии по </w:t>
            </w:r>
            <w:proofErr w:type="spellStart"/>
            <w:r w:rsidRPr="001D6094">
              <w:rPr>
                <w:rFonts w:ascii="Garamond" w:hAnsi="Garamond"/>
                <w:sz w:val="22"/>
                <w:szCs w:val="22"/>
              </w:rPr>
              <w:t>РД</w:t>
            </w:r>
            <w:proofErr w:type="spellEnd"/>
            <w:r w:rsidRPr="001D6094">
              <w:rPr>
                <w:rFonts w:ascii="Garamond" w:hAnsi="Garamond"/>
                <w:sz w:val="22"/>
                <w:szCs w:val="22"/>
              </w:rPr>
              <w:t xml:space="preserve"> для ГТП потребления и коэффициентов отнесения выработки электрической энергии по станциям.</w:t>
            </w:r>
          </w:p>
          <w:p w14:paraId="4D5C8D2D" w14:textId="77777777" w:rsidR="00B4353C" w:rsidRPr="00B4353C" w:rsidRDefault="00B4353C" w:rsidP="00C2382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4353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период до 31 декабря 202</w:t>
            </w:r>
            <w:r w:rsidR="00CD441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B4353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года включительно на входящей в состав Дальневосточного федерального округа отдельной территории, ранее относившейся к неценовым зонам, формируется только схема прикрепления по </w:t>
            </w:r>
            <w:proofErr w:type="spellStart"/>
            <w:r w:rsidRPr="00B4353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РД</w:t>
            </w:r>
            <w:proofErr w:type="spellEnd"/>
            <w:r w:rsidRPr="00B4353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для населения.</w:t>
            </w:r>
          </w:p>
          <w:p w14:paraId="72A0E4BD" w14:textId="77777777" w:rsidR="00B4353C" w:rsidRPr="00607A4D" w:rsidRDefault="00B4353C" w:rsidP="00C23828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t>…</w:t>
            </w:r>
          </w:p>
        </w:tc>
      </w:tr>
    </w:tbl>
    <w:p w14:paraId="35F74669" w14:textId="77777777" w:rsidR="001853E1" w:rsidRDefault="001853E1" w:rsidP="001853E1">
      <w:pPr>
        <w:jc w:val="right"/>
        <w:rPr>
          <w:rFonts w:ascii="Garamond" w:hAnsi="Garamond"/>
          <w:b/>
          <w:bCs/>
          <w:sz w:val="26"/>
          <w:szCs w:val="26"/>
        </w:rPr>
      </w:pPr>
    </w:p>
    <w:p w14:paraId="20D591D2" w14:textId="6A4A3240" w:rsidR="004B2A04" w:rsidRPr="001F506A" w:rsidRDefault="004B2A04" w:rsidP="001F506A">
      <w:pPr>
        <w:spacing w:after="160" w:line="259" w:lineRule="auto"/>
        <w:rPr>
          <w:rFonts w:ascii="Garamond" w:hAnsi="Garamond"/>
          <w:b/>
          <w:bCs/>
          <w:sz w:val="26"/>
          <w:szCs w:val="26"/>
        </w:rPr>
      </w:pPr>
    </w:p>
    <w:sectPr w:rsidR="004B2A04" w:rsidRPr="001F506A" w:rsidSect="001928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BEC75B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A685ECE"/>
    <w:multiLevelType w:val="multilevel"/>
    <w:tmpl w:val="97788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3E7305"/>
    <w:multiLevelType w:val="hybridMultilevel"/>
    <w:tmpl w:val="99666460"/>
    <w:lvl w:ilvl="0" w:tplc="49581C2C">
      <w:start w:val="1"/>
      <w:numFmt w:val="bullet"/>
      <w:lvlText w:val="−"/>
      <w:lvlJc w:val="left"/>
      <w:pPr>
        <w:tabs>
          <w:tab w:val="num" w:pos="399"/>
        </w:tabs>
        <w:ind w:left="1209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F0C41"/>
    <w:multiLevelType w:val="multilevel"/>
    <w:tmpl w:val="7EDC40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7C56B0"/>
    <w:multiLevelType w:val="hybridMultilevel"/>
    <w:tmpl w:val="6BEC9CC0"/>
    <w:lvl w:ilvl="0" w:tplc="81565B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3A442E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2F0676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FCAE92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2402BC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156F7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1EC581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C5E2B7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C2CA83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C76674"/>
    <w:multiLevelType w:val="multilevel"/>
    <w:tmpl w:val="9D0A17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8" w15:restartNumberingAfterBreak="0">
    <w:nsid w:val="7DDC3DDB"/>
    <w:multiLevelType w:val="hybridMultilevel"/>
    <w:tmpl w:val="56207C08"/>
    <w:lvl w:ilvl="0" w:tplc="04190001">
      <w:start w:val="1"/>
      <w:numFmt w:val="decimal"/>
      <w:lvlText w:val="%1)"/>
      <w:lvlJc w:val="left"/>
      <w:pPr>
        <w:ind w:left="780" w:hanging="360"/>
      </w:pPr>
      <w:rPr>
        <w:rFonts w:cs="Times New Roman"/>
        <w:sz w:val="22"/>
        <w:szCs w:val="22"/>
      </w:rPr>
    </w:lvl>
    <w:lvl w:ilvl="1" w:tplc="F1EC7360" w:tentative="1">
      <w:start w:val="1"/>
      <w:numFmt w:val="lowerLetter"/>
      <w:lvlText w:val="%2."/>
      <w:lvlJc w:val="left"/>
      <w:pPr>
        <w:ind w:left="1500" w:hanging="360"/>
      </w:pPr>
    </w:lvl>
    <w:lvl w:ilvl="2" w:tplc="BDDC35CA" w:tentative="1">
      <w:start w:val="1"/>
      <w:numFmt w:val="lowerRoman"/>
      <w:lvlText w:val="%3."/>
      <w:lvlJc w:val="right"/>
      <w:pPr>
        <w:ind w:left="2220" w:hanging="180"/>
      </w:pPr>
    </w:lvl>
    <w:lvl w:ilvl="3" w:tplc="182E142A" w:tentative="1">
      <w:start w:val="1"/>
      <w:numFmt w:val="decimal"/>
      <w:lvlText w:val="%4."/>
      <w:lvlJc w:val="left"/>
      <w:pPr>
        <w:ind w:left="2940" w:hanging="360"/>
      </w:pPr>
    </w:lvl>
    <w:lvl w:ilvl="4" w:tplc="094E5272" w:tentative="1">
      <w:start w:val="1"/>
      <w:numFmt w:val="lowerLetter"/>
      <w:lvlText w:val="%5."/>
      <w:lvlJc w:val="left"/>
      <w:pPr>
        <w:ind w:left="3660" w:hanging="360"/>
      </w:pPr>
    </w:lvl>
    <w:lvl w:ilvl="5" w:tplc="75B87E0A" w:tentative="1">
      <w:start w:val="1"/>
      <w:numFmt w:val="lowerRoman"/>
      <w:lvlText w:val="%6."/>
      <w:lvlJc w:val="right"/>
      <w:pPr>
        <w:ind w:left="4380" w:hanging="180"/>
      </w:pPr>
    </w:lvl>
    <w:lvl w:ilvl="6" w:tplc="B7EC6AAC" w:tentative="1">
      <w:start w:val="1"/>
      <w:numFmt w:val="decimal"/>
      <w:lvlText w:val="%7."/>
      <w:lvlJc w:val="left"/>
      <w:pPr>
        <w:ind w:left="5100" w:hanging="360"/>
      </w:pPr>
    </w:lvl>
    <w:lvl w:ilvl="7" w:tplc="A3546A22" w:tentative="1">
      <w:start w:val="1"/>
      <w:numFmt w:val="lowerLetter"/>
      <w:lvlText w:val="%8."/>
      <w:lvlJc w:val="left"/>
      <w:pPr>
        <w:ind w:left="5820" w:hanging="360"/>
      </w:pPr>
    </w:lvl>
    <w:lvl w:ilvl="8" w:tplc="06369046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2F"/>
    <w:rsid w:val="000631E1"/>
    <w:rsid w:val="00083D09"/>
    <w:rsid w:val="000A0BB7"/>
    <w:rsid w:val="000E461C"/>
    <w:rsid w:val="00145D3B"/>
    <w:rsid w:val="00164F76"/>
    <w:rsid w:val="00172510"/>
    <w:rsid w:val="001853E1"/>
    <w:rsid w:val="00192805"/>
    <w:rsid w:val="001A49BB"/>
    <w:rsid w:val="001F41E5"/>
    <w:rsid w:val="001F506A"/>
    <w:rsid w:val="0028460A"/>
    <w:rsid w:val="002A2CC1"/>
    <w:rsid w:val="002D1139"/>
    <w:rsid w:val="002F0AFC"/>
    <w:rsid w:val="002F464F"/>
    <w:rsid w:val="00330ADD"/>
    <w:rsid w:val="003329C4"/>
    <w:rsid w:val="00342B51"/>
    <w:rsid w:val="0036604D"/>
    <w:rsid w:val="00424B9C"/>
    <w:rsid w:val="00427A40"/>
    <w:rsid w:val="0044795D"/>
    <w:rsid w:val="004824E0"/>
    <w:rsid w:val="004A7DA9"/>
    <w:rsid w:val="004B2072"/>
    <w:rsid w:val="004B2A04"/>
    <w:rsid w:val="004B797D"/>
    <w:rsid w:val="004D6C99"/>
    <w:rsid w:val="004F7D7E"/>
    <w:rsid w:val="00510EAF"/>
    <w:rsid w:val="00531554"/>
    <w:rsid w:val="005442E8"/>
    <w:rsid w:val="00552F11"/>
    <w:rsid w:val="00581B35"/>
    <w:rsid w:val="005C65F2"/>
    <w:rsid w:val="005D78CC"/>
    <w:rsid w:val="00607A4D"/>
    <w:rsid w:val="006467AF"/>
    <w:rsid w:val="00673F80"/>
    <w:rsid w:val="006C458E"/>
    <w:rsid w:val="006D4388"/>
    <w:rsid w:val="006F35D9"/>
    <w:rsid w:val="007349DA"/>
    <w:rsid w:val="00737989"/>
    <w:rsid w:val="0074250C"/>
    <w:rsid w:val="007629B8"/>
    <w:rsid w:val="00776020"/>
    <w:rsid w:val="007A09FC"/>
    <w:rsid w:val="007A6086"/>
    <w:rsid w:val="007D353E"/>
    <w:rsid w:val="00836809"/>
    <w:rsid w:val="008E02FB"/>
    <w:rsid w:val="00906A53"/>
    <w:rsid w:val="00982A7D"/>
    <w:rsid w:val="009A25F5"/>
    <w:rsid w:val="009C431A"/>
    <w:rsid w:val="009F6041"/>
    <w:rsid w:val="00A30283"/>
    <w:rsid w:val="00A36837"/>
    <w:rsid w:val="00A8012C"/>
    <w:rsid w:val="00AD36AB"/>
    <w:rsid w:val="00AD641E"/>
    <w:rsid w:val="00B206AA"/>
    <w:rsid w:val="00B4353C"/>
    <w:rsid w:val="00BF1438"/>
    <w:rsid w:val="00C1696D"/>
    <w:rsid w:val="00C21FC9"/>
    <w:rsid w:val="00C23828"/>
    <w:rsid w:val="00C405D1"/>
    <w:rsid w:val="00C5077E"/>
    <w:rsid w:val="00C647DC"/>
    <w:rsid w:val="00C64966"/>
    <w:rsid w:val="00CC048E"/>
    <w:rsid w:val="00CD1735"/>
    <w:rsid w:val="00CD1877"/>
    <w:rsid w:val="00CD441D"/>
    <w:rsid w:val="00CD4452"/>
    <w:rsid w:val="00CE63AC"/>
    <w:rsid w:val="00D173E8"/>
    <w:rsid w:val="00D323AD"/>
    <w:rsid w:val="00D6340B"/>
    <w:rsid w:val="00D64C0A"/>
    <w:rsid w:val="00DC2517"/>
    <w:rsid w:val="00DD592F"/>
    <w:rsid w:val="00E07261"/>
    <w:rsid w:val="00E160EB"/>
    <w:rsid w:val="00E3105A"/>
    <w:rsid w:val="00E71F7D"/>
    <w:rsid w:val="00E91B76"/>
    <w:rsid w:val="00EC5E74"/>
    <w:rsid w:val="00EF50F5"/>
    <w:rsid w:val="00F3299C"/>
    <w:rsid w:val="00F66583"/>
    <w:rsid w:val="00F76FFA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9430B5E"/>
  <w15:chartTrackingRefBased/>
  <w15:docId w15:val="{CDE07E38-66DA-47D3-B781-065BB8BE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DD592F"/>
    <w:pPr>
      <w:keepNext/>
      <w:pageBreakBefore/>
      <w:numPr>
        <w:numId w:val="1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qFormat/>
    <w:rsid w:val="00DD592F"/>
    <w:pPr>
      <w:keepNext/>
      <w:numPr>
        <w:ilvl w:val="1"/>
        <w:numId w:val="1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1"/>
    <w:qFormat/>
    <w:rsid w:val="00DD592F"/>
    <w:pPr>
      <w:numPr>
        <w:ilvl w:val="2"/>
        <w:numId w:val="1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0"/>
    <w:qFormat/>
    <w:rsid w:val="00DD592F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DD592F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DD592F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DD592F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DD592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DD592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DD592F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rsid w:val="00DD592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1">
    <w:name w:val="Заголовок 3 Знак"/>
    <w:aliases w:val="Заголовок подпукта (1.1.1) Знак,Level 1 - 1 Знак,H3 Знак,o Знак"/>
    <w:basedOn w:val="a0"/>
    <w:link w:val="3"/>
    <w:rsid w:val="00DD592F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DD592F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DD592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DD592F"/>
    <w:rPr>
      <w:rFonts w:ascii="Arial" w:eastAsia="Times New Roman" w:hAnsi="Arial" w:cs="Times New Roman"/>
      <w:i/>
      <w:sz w:val="18"/>
      <w:szCs w:val="20"/>
    </w:rPr>
  </w:style>
  <w:style w:type="table" w:styleId="a3">
    <w:name w:val="Table Grid"/>
    <w:basedOn w:val="a1"/>
    <w:uiPriority w:val="39"/>
    <w:rsid w:val="00DD5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clauseindent">
    <w:name w:val="subclauseindent"/>
    <w:basedOn w:val="a"/>
    <w:rsid w:val="005442E8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Iauiue">
    <w:name w:val="Iau?iue"/>
    <w:rsid w:val="00B435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Revision"/>
    <w:hidden/>
    <w:uiPriority w:val="99"/>
    <w:semiHidden/>
    <w:rsid w:val="00DC2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"/>
    <w:autoRedefine/>
    <w:rsid w:val="00E71F7D"/>
    <w:pPr>
      <w:numPr>
        <w:numId w:val="8"/>
      </w:numPr>
      <w:tabs>
        <w:tab w:val="clear" w:pos="1040"/>
        <w:tab w:val="num" w:pos="2913"/>
      </w:tabs>
      <w:spacing w:before="180" w:after="60"/>
      <w:ind w:left="2894"/>
    </w:pPr>
    <w:rPr>
      <w:sz w:val="22"/>
      <w:szCs w:val="20"/>
      <w:lang w:eastAsia="en-US"/>
    </w:rPr>
  </w:style>
  <w:style w:type="character" w:styleId="a5">
    <w:name w:val="annotation reference"/>
    <w:basedOn w:val="a0"/>
    <w:uiPriority w:val="99"/>
    <w:semiHidden/>
    <w:unhideWhenUsed/>
    <w:rsid w:val="006467A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467A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467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467A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467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"/>
    <w:basedOn w:val="a"/>
    <w:link w:val="ab"/>
    <w:rsid w:val="00C1696D"/>
    <w:pPr>
      <w:spacing w:before="120" w:after="120"/>
      <w:jc w:val="both"/>
    </w:pPr>
    <w:rPr>
      <w:sz w:val="22"/>
      <w:szCs w:val="20"/>
      <w:lang w:eastAsia="en-US"/>
    </w:rPr>
  </w:style>
  <w:style w:type="character" w:customStyle="1" w:styleId="ab">
    <w:name w:val="Основной текст Знак"/>
    <w:basedOn w:val="a0"/>
    <w:link w:val="aa"/>
    <w:rsid w:val="00C1696D"/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rsid w:val="00C169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DA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7D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Алексей Юрьевич</dc:creator>
  <cp:keywords/>
  <dc:description/>
  <cp:lastModifiedBy>Пряхина Ирина Игоревна</cp:lastModifiedBy>
  <cp:revision>10</cp:revision>
  <dcterms:created xsi:type="dcterms:W3CDTF">2024-10-15T09:57:00Z</dcterms:created>
  <dcterms:modified xsi:type="dcterms:W3CDTF">2024-10-21T11:27:00Z</dcterms:modified>
</cp:coreProperties>
</file>