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9FE98" w14:textId="63244439" w:rsidR="00487453" w:rsidRDefault="0040372B" w:rsidP="00487453">
      <w:pPr>
        <w:rPr>
          <w:rFonts w:ascii="Garamond" w:hAnsi="Garamond"/>
          <w:b/>
          <w:sz w:val="28"/>
          <w:szCs w:val="28"/>
        </w:rPr>
      </w:pPr>
      <w:bookmarkStart w:id="0" w:name="_Hlk164874730"/>
      <w:r>
        <w:rPr>
          <w:rFonts w:ascii="Garamond" w:hAnsi="Garamond"/>
          <w:b/>
          <w:sz w:val="28"/>
          <w:szCs w:val="28"/>
          <w:lang w:val="en-US"/>
        </w:rPr>
        <w:t>I</w:t>
      </w:r>
      <w:r w:rsidRPr="0040372B">
        <w:rPr>
          <w:rFonts w:ascii="Garamond" w:hAnsi="Garamond"/>
          <w:b/>
          <w:sz w:val="28"/>
          <w:szCs w:val="28"/>
        </w:rPr>
        <w:t xml:space="preserve">.7. </w:t>
      </w:r>
      <w:r w:rsidR="00487453">
        <w:rPr>
          <w:rFonts w:ascii="Garamond" w:hAnsi="Garamond"/>
          <w:b/>
          <w:sz w:val="28"/>
          <w:szCs w:val="28"/>
        </w:rPr>
        <w:t>Изменения, связанные</w:t>
      </w:r>
      <w:r w:rsidR="00487453" w:rsidRPr="003C4089">
        <w:rPr>
          <w:rFonts w:ascii="Garamond" w:hAnsi="Garamond"/>
          <w:b/>
          <w:sz w:val="28"/>
          <w:szCs w:val="28"/>
        </w:rPr>
        <w:t xml:space="preserve"> с особенностями торговли электрической энергией при отнесении неценовых зон Дальнего Востока, Архангельской области, Республики Коми к ценовым зонам оптового рынка</w:t>
      </w:r>
    </w:p>
    <w:p w14:paraId="17B8C1AC" w14:textId="77777777" w:rsidR="00487453" w:rsidRPr="00FD2F6F" w:rsidRDefault="00487453" w:rsidP="00487453">
      <w:pPr>
        <w:ind w:right="111"/>
        <w:rPr>
          <w:rFonts w:ascii="Garamond" w:hAnsi="Garamond"/>
          <w:b/>
          <w:sz w:val="28"/>
          <w:szCs w:val="28"/>
        </w:rPr>
      </w:pPr>
    </w:p>
    <w:p w14:paraId="25EA9CA8" w14:textId="4F616C5C" w:rsidR="00487453" w:rsidRPr="005258FA" w:rsidRDefault="00487453" w:rsidP="00703954">
      <w:pPr>
        <w:ind w:right="-456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>
        <w:rPr>
          <w:rFonts w:ascii="Garamond" w:hAnsi="Garamond"/>
          <w:b/>
          <w:sz w:val="28"/>
          <w:szCs w:val="28"/>
          <w:lang w:val="en-US"/>
        </w:rPr>
        <w:t xml:space="preserve"> </w:t>
      </w:r>
      <w:r w:rsidR="0040372B">
        <w:rPr>
          <w:rFonts w:ascii="Garamond" w:hAnsi="Garamond"/>
          <w:b/>
          <w:sz w:val="28"/>
          <w:szCs w:val="28"/>
          <w:lang w:val="en-US"/>
        </w:rPr>
        <w:t>1.7.2</w:t>
      </w:r>
    </w:p>
    <w:p w14:paraId="3488A336" w14:textId="77777777" w:rsidR="00487453" w:rsidRDefault="00487453" w:rsidP="00487453">
      <w:pPr>
        <w:ind w:right="111"/>
        <w:rPr>
          <w:rFonts w:ascii="Garamond" w:hAnsi="Garamond"/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487453" w:rsidRPr="002B5432" w14:paraId="4DF63BA3" w14:textId="77777777" w:rsidTr="007F7C14">
        <w:trPr>
          <w:trHeight w:val="928"/>
        </w:trPr>
        <w:tc>
          <w:tcPr>
            <w:tcW w:w="15021" w:type="dxa"/>
          </w:tcPr>
          <w:bookmarkEnd w:id="0"/>
          <w:p w14:paraId="78EA21B6" w14:textId="6BB6B2F5" w:rsidR="00487453" w:rsidRPr="000B036A" w:rsidRDefault="00487453" w:rsidP="007F7C14">
            <w:pPr>
              <w:widowControl w:val="0"/>
              <w:snapToGrid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Инициатор:</w:t>
            </w:r>
            <w:r>
              <w:rPr>
                <w:rFonts w:ascii="Garamond" w:hAnsi="Garamond"/>
              </w:rPr>
              <w:t xml:space="preserve"> Ассоциация «НП Совет рынка»</w:t>
            </w:r>
            <w:r w:rsidR="000B036A" w:rsidRPr="000B036A">
              <w:rPr>
                <w:rFonts w:ascii="Garamond" w:hAnsi="Garamond"/>
              </w:rPr>
              <w:t>.</w:t>
            </w:r>
          </w:p>
          <w:p w14:paraId="491C2DD1" w14:textId="4DCFE3A9" w:rsidR="00487453" w:rsidRDefault="00487453" w:rsidP="007F7C14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703954">
              <w:rPr>
                <w:rFonts w:ascii="Garamond" w:hAnsi="Garamond" w:cs="Times New Roman"/>
                <w:sz w:val="24"/>
                <w:szCs w:val="24"/>
              </w:rPr>
              <w:t>о</w:t>
            </w:r>
            <w:r w:rsidRPr="004E432E">
              <w:rPr>
                <w:rFonts w:ascii="Garamond" w:hAnsi="Garamond" w:cs="Times New Roman"/>
                <w:sz w:val="24"/>
                <w:szCs w:val="24"/>
              </w:rPr>
              <w:t>пределение особенностей функционирования механизмов РСВ на отдельных территориях ценовых зон, ранее относившихся к неценовым зонам.</w:t>
            </w:r>
          </w:p>
          <w:p w14:paraId="59167794" w14:textId="46380A4A" w:rsidR="00487453" w:rsidRPr="001D4D58" w:rsidRDefault="00487453" w:rsidP="009B3BCD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Дата вступления в силу:</w:t>
            </w:r>
            <w:r>
              <w:rPr>
                <w:rFonts w:ascii="Garamond" w:hAnsi="Garamond"/>
              </w:rPr>
              <w:t xml:space="preserve"> </w:t>
            </w:r>
            <w:r w:rsidR="00D07C35" w:rsidRPr="00D07C35">
              <w:rPr>
                <w:rFonts w:ascii="Garamond" w:hAnsi="Garamond"/>
              </w:rPr>
              <w:t>для целей технической реализации.</w:t>
            </w:r>
          </w:p>
        </w:tc>
      </w:tr>
    </w:tbl>
    <w:p w14:paraId="5FC21116" w14:textId="77777777" w:rsidR="00DB6CFE" w:rsidRDefault="00DB6CFE" w:rsidP="00DB6CFE">
      <w:pPr>
        <w:jc w:val="both"/>
        <w:rPr>
          <w:rFonts w:eastAsia="Batang"/>
          <w:bCs/>
        </w:rPr>
      </w:pPr>
    </w:p>
    <w:p w14:paraId="64183C2A" w14:textId="77777777" w:rsidR="006F236C" w:rsidRPr="0088562B" w:rsidRDefault="006F236C" w:rsidP="0031093B">
      <w:pPr>
        <w:pStyle w:val="a4"/>
        <w:widowControl w:val="0"/>
        <w:spacing w:before="0"/>
        <w:jc w:val="left"/>
        <w:rPr>
          <w:rFonts w:cs="Garamond"/>
          <w:b w:val="0"/>
          <w:bCs w:val="0"/>
          <w:sz w:val="26"/>
          <w:szCs w:val="26"/>
        </w:rPr>
      </w:pPr>
      <w:r w:rsidRPr="0088562B">
        <w:rPr>
          <w:rFonts w:cs="Garamond"/>
          <w:sz w:val="26"/>
          <w:szCs w:val="26"/>
        </w:rPr>
        <w:t xml:space="preserve">Предложения по изменениям и дополнениям в РЕГЛАМЕНТ РАСЧЕТА ПЛАНОВЫХ ОБЪЕМОВ ПРОИЗВОДСТВА И ПОТРЕБЛЕНИЯ И РАСЧЕТА СТОИМОСТИ ЭЛЕКТРОЭНЕРГИИ НА СУТКИ ВПЕРЕД (Приложение № 8 к </w:t>
      </w:r>
      <w:r>
        <w:rPr>
          <w:rFonts w:cs="Garamond"/>
          <w:sz w:val="26"/>
          <w:szCs w:val="26"/>
        </w:rPr>
        <w:t>Договору о </w:t>
      </w:r>
      <w:r w:rsidRPr="0088562B">
        <w:rPr>
          <w:rFonts w:cs="Garamond"/>
          <w:sz w:val="26"/>
          <w:szCs w:val="26"/>
        </w:rPr>
        <w:t>присоединении к торговой системе оптового рынка)</w:t>
      </w:r>
    </w:p>
    <w:p w14:paraId="10C8F765" w14:textId="77777777" w:rsidR="006F236C" w:rsidRPr="0088562B" w:rsidRDefault="006F236C" w:rsidP="006F236C">
      <w:pPr>
        <w:pStyle w:val="a4"/>
        <w:widowControl w:val="0"/>
        <w:spacing w:before="0"/>
        <w:jc w:val="both"/>
        <w:rPr>
          <w:rFonts w:cs="Garamond"/>
          <w:sz w:val="22"/>
          <w:szCs w:val="22"/>
        </w:rPr>
      </w:pPr>
    </w:p>
    <w:tbl>
      <w:tblPr>
        <w:tblStyle w:val="a3"/>
        <w:tblW w:w="151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4"/>
        <w:gridCol w:w="6924"/>
        <w:gridCol w:w="7201"/>
      </w:tblGrid>
      <w:tr w:rsidR="006F236C" w:rsidRPr="0088562B" w14:paraId="2422F0AA" w14:textId="77777777" w:rsidTr="006D30F1">
        <w:trPr>
          <w:tblHeader/>
        </w:trPr>
        <w:tc>
          <w:tcPr>
            <w:tcW w:w="1014" w:type="dxa"/>
            <w:vAlign w:val="center"/>
          </w:tcPr>
          <w:p w14:paraId="08C792E5" w14:textId="77777777" w:rsidR="006F236C" w:rsidRPr="0088562B" w:rsidRDefault="006F236C" w:rsidP="00467140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8562B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24" w:type="dxa"/>
          </w:tcPr>
          <w:p w14:paraId="6B5B0D51" w14:textId="77777777" w:rsidR="006F236C" w:rsidRPr="0088562B" w:rsidRDefault="006F236C" w:rsidP="00467140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8562B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F1ACA20" w14:textId="77777777" w:rsidR="006F236C" w:rsidRPr="0088562B" w:rsidRDefault="006F236C" w:rsidP="00467140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8562B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01" w:type="dxa"/>
          </w:tcPr>
          <w:p w14:paraId="61C8DE1A" w14:textId="77777777" w:rsidR="006F236C" w:rsidRPr="0088562B" w:rsidRDefault="006F236C" w:rsidP="00467140">
            <w:pPr>
              <w:widowControl w:val="0"/>
              <w:ind w:firstLine="33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8562B">
              <w:rPr>
                <w:rFonts w:ascii="Garamond" w:hAnsi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71FD794A" w14:textId="77777777" w:rsidR="006F236C" w:rsidRPr="0088562B" w:rsidRDefault="006F236C" w:rsidP="00467140">
            <w:pPr>
              <w:widowControl w:val="0"/>
              <w:ind w:firstLine="33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88562B">
              <w:rPr>
                <w:rFonts w:ascii="Garamond" w:hAnsi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6F236C" w:rsidRPr="0088562B" w14:paraId="526AB7ED" w14:textId="77777777" w:rsidTr="006D30F1">
        <w:tc>
          <w:tcPr>
            <w:tcW w:w="1014" w:type="dxa"/>
            <w:vAlign w:val="center"/>
          </w:tcPr>
          <w:p w14:paraId="6B776912" w14:textId="77777777" w:rsidR="006F236C" w:rsidRPr="0088562B" w:rsidRDefault="006F236C" w:rsidP="006F236C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8562B">
              <w:rPr>
                <w:rFonts w:ascii="Garamond" w:hAnsi="Garamond"/>
                <w:b/>
                <w:bCs/>
                <w:sz w:val="22"/>
                <w:szCs w:val="22"/>
              </w:rPr>
              <w:t>8.1.5.1</w:t>
            </w:r>
          </w:p>
        </w:tc>
        <w:tc>
          <w:tcPr>
            <w:tcW w:w="6924" w:type="dxa"/>
          </w:tcPr>
          <w:p w14:paraId="2178E8A7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szCs w:val="22"/>
                <w:lang w:val="ru-RU"/>
              </w:rPr>
              <w:t xml:space="preserve">В случае если рассматриваемый час операционных суток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не отнесен к периоду действия введенного в установленном порядке государственного регулирования цен (тарифов) в данной ценовой зоне, КО рассчитывает величину </w:t>
            </w:r>
            <w:r w:rsidRPr="0088562B">
              <w:rPr>
                <w:rFonts w:ascii="Garamond" w:hAnsi="Garamond"/>
                <w:position w:val="-14"/>
                <w:szCs w:val="22"/>
              </w:rPr>
              <w:object w:dxaOrig="1020" w:dyaOrig="400" w14:anchorId="59748A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75pt;height:30pt" o:ole="">
                  <v:imagedata r:id="rId6" o:title=""/>
                </v:shape>
                <o:OLEObject Type="Embed" ProgID="Equation.3" ShapeID="_x0000_i1025" DrawAspect="Content" ObjectID="_1791116490" r:id="rId7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>в соответствии с формулами:</w:t>
            </w:r>
          </w:p>
          <w:p w14:paraId="368212B4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szCs w:val="22"/>
                <w:lang w:val="ru-RU"/>
              </w:rPr>
              <w:t>1. Для участников оптового рынка – поставщиков электрической энергии, в ГТП генерации, принятой в промышленную эксплуатацию:</w:t>
            </w:r>
          </w:p>
          <w:p w14:paraId="37145A88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…</w:t>
            </w:r>
          </w:p>
          <w:p w14:paraId="22E1F6C3" w14:textId="77777777" w:rsidR="006F236C" w:rsidRPr="0088562B" w:rsidRDefault="006F236C" w:rsidP="006F236C">
            <w:pPr>
              <w:tabs>
                <w:tab w:val="left" w:pos="1985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88562B">
              <w:rPr>
                <w:rFonts w:ascii="Garamond" w:hAnsi="Garamond"/>
                <w:sz w:val="22"/>
                <w:szCs w:val="22"/>
              </w:rPr>
              <w:t>2)</w:t>
            </w:r>
            <w:r w:rsidRPr="0088562B">
              <w:rPr>
                <w:rFonts w:ascii="Garamond" w:hAnsi="Garamond"/>
                <w:sz w:val="22"/>
                <w:szCs w:val="22"/>
              </w:rPr>
              <w:tab/>
              <w:t xml:space="preserve">в случаях, предусмотренных подпунктами 6, 7, 10 и 11 пункта 5.3 Регламента проведения конкурентного отбора ценовых заявок на сутки вперед (Приложение № 7 к Договору о присоединении к торговой системе оптового рынка): </w:t>
            </w:r>
          </w:p>
          <w:p w14:paraId="51C46B22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position w:val="-28"/>
                <w:szCs w:val="22"/>
              </w:rPr>
              <w:object w:dxaOrig="6700" w:dyaOrig="540" w14:anchorId="66FE7B8B">
                <v:shape id="_x0000_i1026" type="#_x0000_t75" style="width:306pt;height:24pt" o:ole="">
                  <v:imagedata r:id="rId8" o:title=""/>
                </v:shape>
                <o:OLEObject Type="Embed" ProgID="Equation.3" ShapeID="_x0000_i1026" DrawAspect="Content" ObjectID="_1791116491" r:id="rId9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774EDE73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Pr="0088562B">
              <w:rPr>
                <w:rFonts w:ascii="Garamond" w:hAnsi="Garamond"/>
                <w:position w:val="-14"/>
                <w:szCs w:val="22"/>
              </w:rPr>
              <w:object w:dxaOrig="1480" w:dyaOrig="400" w14:anchorId="4BD67ADB">
                <v:shape id="_x0000_i1027" type="#_x0000_t75" style="width:1in;height:18pt" o:ole="">
                  <v:imagedata r:id="rId10" o:title=""/>
                </v:shape>
                <o:OLEObject Type="Embed" ProgID="Equation.3" ShapeID="_x0000_i1027" DrawAspect="Content" ObjectID="_1791116492" r:id="rId11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</w:t>
            </w:r>
            <w:r w:rsidRPr="0088562B">
              <w:rPr>
                <w:rFonts w:ascii="Garamond" w:hAnsi="Garamond"/>
                <w:szCs w:val="22"/>
                <w:lang w:val="ru-RU"/>
              </w:rPr>
              <w:lastRenderedPageBreak/>
              <w:t xml:space="preserve">технологического минимума для ГТП генерации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>, определенная в соответствии с настоящим пунктом;</w:t>
            </w:r>
          </w:p>
          <w:p w14:paraId="27B8DF95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position w:val="-14"/>
                <w:szCs w:val="22"/>
              </w:rPr>
              <w:object w:dxaOrig="1120" w:dyaOrig="400" w14:anchorId="7E340AF5">
                <v:shape id="_x0000_i1028" type="#_x0000_t75" style="width:1in;height:24pt" o:ole="">
                  <v:imagedata r:id="rId12" o:title=""/>
                </v:shape>
                <o:OLEObject Type="Embed" ProgID="Equation.3" ShapeID="_x0000_i1028" DrawAspect="Content" ObjectID="_1791116493" r:id="rId13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[руб./МВт</w:t>
            </w:r>
            <w:r w:rsidRPr="0088562B">
              <w:rPr>
                <w:rFonts w:ascii="Garamond" w:hAnsi="Garamond"/>
                <w:szCs w:val="22"/>
              </w:rPr>
              <w:sym w:font="Symbol" w:char="F0D7"/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ч] – цена модельной пары «цена – количество»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для участника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88562B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к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рынка);</w:t>
            </w:r>
          </w:p>
          <w:p w14:paraId="7A663011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6F236C">
              <w:rPr>
                <w:rFonts w:ascii="Garamond" w:hAnsi="Garamond"/>
                <w:position w:val="-54"/>
                <w:szCs w:val="22"/>
              </w:rPr>
              <w:object w:dxaOrig="7339" w:dyaOrig="1200" w14:anchorId="2D954C52">
                <v:shape id="_x0000_i1029" type="#_x0000_t75" style="width:341.25pt;height:57pt" o:ole="">
                  <v:imagedata r:id="rId14" o:title=""/>
                </v:shape>
                <o:OLEObject Type="Embed" ProgID="Equation.3" ShapeID="_x0000_i1029" DrawAspect="Content" ObjectID="_1791116494" r:id="rId15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3D4EED51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Pr="0088562B">
              <w:rPr>
                <w:rFonts w:ascii="Garamond" w:hAnsi="Garamond"/>
                <w:position w:val="-14"/>
                <w:szCs w:val="22"/>
              </w:rPr>
              <w:object w:dxaOrig="940" w:dyaOrig="400" w14:anchorId="539DAE3E">
                <v:shape id="_x0000_i1030" type="#_x0000_t75" style="width:48pt;height:18pt" o:ole="">
                  <v:imagedata r:id="rId16" o:title=""/>
                </v:shape>
                <o:OLEObject Type="Embed" ProgID="Equation.3" ShapeID="_x0000_i1030" DrawAspect="Content" ObjectID="_1791116495" r:id="rId17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– объем модельной пары «цена – количество»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88562B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к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рынка);</w:t>
            </w:r>
          </w:p>
          <w:p w14:paraId="17F3210F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≥0 – номер ступени;</w:t>
            </w:r>
          </w:p>
          <w:p w14:paraId="6547EDC0" w14:textId="77777777" w:rsidR="006F236C" w:rsidRPr="0088562B" w:rsidRDefault="006F236C" w:rsidP="006F236C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position w:val="-14"/>
                <w:szCs w:val="22"/>
              </w:rPr>
              <w:object w:dxaOrig="1480" w:dyaOrig="400" w14:anchorId="63327329">
                <v:shape id="_x0000_i1031" type="#_x0000_t75" style="width:77.25pt;height:18pt" o:ole="">
                  <v:imagedata r:id="rId18" o:title=""/>
                </v:shape>
                <o:OLEObject Type="Embed" ProgID="Equation.3" ShapeID="_x0000_i1031" DrawAspect="Content" ObjectID="_1791116496" r:id="rId19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>– объем ступени, предшествующей нулевой, равен нулю;</w:t>
            </w:r>
          </w:p>
          <w:p w14:paraId="1378CC86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– час операционных суток.</w:t>
            </w:r>
          </w:p>
          <w:p w14:paraId="1C4AE821" w14:textId="77777777" w:rsidR="006F236C" w:rsidRPr="006F236C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…</w:t>
            </w:r>
          </w:p>
          <w:p w14:paraId="335DB375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</w:rPr>
            </w:pPr>
          </w:p>
        </w:tc>
        <w:tc>
          <w:tcPr>
            <w:tcW w:w="7201" w:type="dxa"/>
          </w:tcPr>
          <w:p w14:paraId="2CBA5ACF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szCs w:val="22"/>
                <w:lang w:val="ru-RU"/>
              </w:rPr>
              <w:lastRenderedPageBreak/>
              <w:t xml:space="preserve">В случае если рассматриваемый час операционных суток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не отнесен к периоду действия введенного в установленном порядке государственного регулирования цен (тарифов) в данной ценовой зоне, КО рассчитывает величину </w:t>
            </w:r>
            <w:r w:rsidRPr="0088562B">
              <w:rPr>
                <w:rFonts w:ascii="Garamond" w:hAnsi="Garamond"/>
                <w:position w:val="-14"/>
                <w:szCs w:val="22"/>
              </w:rPr>
              <w:object w:dxaOrig="1020" w:dyaOrig="400" w14:anchorId="07F5575C">
                <v:shape id="_x0000_i1032" type="#_x0000_t75" style="width:66.75pt;height:30pt" o:ole="">
                  <v:imagedata r:id="rId6" o:title=""/>
                </v:shape>
                <o:OLEObject Type="Embed" ProgID="Equation.3" ShapeID="_x0000_i1032" DrawAspect="Content" ObjectID="_1791116497" r:id="rId20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>в соответствии с формулами:</w:t>
            </w:r>
          </w:p>
          <w:p w14:paraId="043A7FBC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szCs w:val="22"/>
                <w:lang w:val="ru-RU"/>
              </w:rPr>
              <w:t>1. Для участников оптового рынка – поставщиков электрической энергии, в ГТП генерации, принятой в промышленную эксплуатацию:</w:t>
            </w:r>
          </w:p>
          <w:p w14:paraId="4C9ABD5F" w14:textId="7137CA68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…</w:t>
            </w:r>
          </w:p>
          <w:p w14:paraId="675FC797" w14:textId="007E869D" w:rsidR="006F236C" w:rsidRPr="0088562B" w:rsidRDefault="006F236C" w:rsidP="006F236C">
            <w:pPr>
              <w:tabs>
                <w:tab w:val="left" w:pos="1985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88562B">
              <w:rPr>
                <w:rFonts w:ascii="Garamond" w:hAnsi="Garamond"/>
                <w:sz w:val="22"/>
                <w:szCs w:val="22"/>
              </w:rPr>
              <w:t>2)</w:t>
            </w:r>
            <w:r w:rsidRPr="0088562B">
              <w:rPr>
                <w:rFonts w:ascii="Garamond" w:hAnsi="Garamond"/>
                <w:sz w:val="22"/>
                <w:szCs w:val="22"/>
              </w:rPr>
              <w:tab/>
              <w:t>в случаях, предусмотренных подпунктами 6, 7, 10 и 11 пункта 5.3 Регламента проведения конкурентного отбора ценовых заявок на сутки вперед (Приложение № 7 к Договору о присоединении к торговой системе оптового рынка)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33DCF">
              <w:rPr>
                <w:rFonts w:ascii="Garamond" w:hAnsi="Garamond"/>
                <w:sz w:val="22"/>
                <w:szCs w:val="22"/>
                <w:highlight w:val="yellow"/>
              </w:rPr>
              <w:t xml:space="preserve">(за исключением случая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5.3 </w:t>
            </w:r>
            <w:r w:rsidRPr="00B33DCF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проведения конкурентного отбора ценовых заявок на сутки вперед</w:t>
            </w:r>
            <w:r w:rsidRPr="00B33DCF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7 к </w:t>
            </w:r>
            <w:r w:rsidRPr="00B33DCF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B33DCF">
              <w:rPr>
                <w:rFonts w:ascii="Garamond" w:hAnsi="Garamond"/>
                <w:sz w:val="22"/>
                <w:szCs w:val="22"/>
                <w:highlight w:val="yellow"/>
              </w:rPr>
              <w:t>))</w:t>
            </w:r>
            <w:r w:rsidRPr="0088562B">
              <w:rPr>
                <w:rFonts w:ascii="Garamond" w:hAnsi="Garamond"/>
                <w:sz w:val="22"/>
                <w:szCs w:val="22"/>
              </w:rPr>
              <w:t xml:space="preserve">: </w:t>
            </w:r>
          </w:p>
          <w:p w14:paraId="6078E324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position w:val="-28"/>
                <w:szCs w:val="22"/>
              </w:rPr>
              <w:object w:dxaOrig="6700" w:dyaOrig="540" w14:anchorId="42D5CAA1">
                <v:shape id="_x0000_i1033" type="#_x0000_t75" style="width:306pt;height:24pt" o:ole="">
                  <v:imagedata r:id="rId8" o:title=""/>
                </v:shape>
                <o:OLEObject Type="Embed" ProgID="Equation.3" ShapeID="_x0000_i1033" DrawAspect="Content" ObjectID="_1791116498" r:id="rId21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18AEBC83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szCs w:val="22"/>
                <w:lang w:val="ru-RU"/>
              </w:rPr>
              <w:lastRenderedPageBreak/>
              <w:t xml:space="preserve">где </w:t>
            </w:r>
            <w:r w:rsidRPr="0088562B">
              <w:rPr>
                <w:rFonts w:ascii="Garamond" w:hAnsi="Garamond"/>
                <w:position w:val="-14"/>
                <w:szCs w:val="22"/>
              </w:rPr>
              <w:object w:dxaOrig="1480" w:dyaOrig="400" w14:anchorId="1ECB54C3">
                <v:shape id="_x0000_i1034" type="#_x0000_t75" style="width:1in;height:18pt" o:ole="">
                  <v:imagedata r:id="rId10" o:title=""/>
                </v:shape>
                <o:OLEObject Type="Embed" ProgID="Equation.3" ShapeID="_x0000_i1034" DrawAspect="Content" ObjectID="_1791116499" r:id="rId22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>, определенная в соответствии с настоящим пунктом;</w:t>
            </w:r>
          </w:p>
          <w:p w14:paraId="0282BEAB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position w:val="-14"/>
                <w:szCs w:val="22"/>
              </w:rPr>
              <w:object w:dxaOrig="1120" w:dyaOrig="400" w14:anchorId="797F813F">
                <v:shape id="_x0000_i1035" type="#_x0000_t75" style="width:1in;height:24pt" o:ole="">
                  <v:imagedata r:id="rId12" o:title=""/>
                </v:shape>
                <o:OLEObject Type="Embed" ProgID="Equation.3" ShapeID="_x0000_i1035" DrawAspect="Content" ObjectID="_1791116500" r:id="rId23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[руб./МВт</w:t>
            </w:r>
            <w:r w:rsidRPr="0088562B">
              <w:rPr>
                <w:rFonts w:ascii="Garamond" w:hAnsi="Garamond"/>
                <w:szCs w:val="22"/>
              </w:rPr>
              <w:sym w:font="Symbol" w:char="F0D7"/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ч] – цена модельной пары «цена – количество»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для участника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88562B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к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рынка);</w:t>
            </w:r>
          </w:p>
          <w:p w14:paraId="6CD947C3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6F236C">
              <w:rPr>
                <w:rFonts w:ascii="Garamond" w:hAnsi="Garamond"/>
                <w:position w:val="-54"/>
                <w:szCs w:val="22"/>
              </w:rPr>
              <w:object w:dxaOrig="7339" w:dyaOrig="1200" w14:anchorId="2B8E47DF">
                <v:shape id="_x0000_i1036" type="#_x0000_t75" style="width:341.25pt;height:57pt" o:ole="">
                  <v:imagedata r:id="rId14" o:title=""/>
                </v:shape>
                <o:OLEObject Type="Embed" ProgID="Equation.3" ShapeID="_x0000_i1036" DrawAspect="Content" ObjectID="_1791116501" r:id="rId24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66A2F309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Pr="0088562B">
              <w:rPr>
                <w:rFonts w:ascii="Garamond" w:hAnsi="Garamond"/>
                <w:position w:val="-14"/>
                <w:szCs w:val="22"/>
              </w:rPr>
              <w:object w:dxaOrig="940" w:dyaOrig="400" w14:anchorId="0C6804C4">
                <v:shape id="_x0000_i1037" type="#_x0000_t75" style="width:48pt;height:18pt" o:ole="">
                  <v:imagedata r:id="rId16" o:title=""/>
                </v:shape>
                <o:OLEObject Type="Embed" ProgID="Equation.3" ShapeID="_x0000_i1037" DrawAspect="Content" ObjectID="_1791116502" r:id="rId25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– объем модельной пары «цена – количество»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88562B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к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рынка);</w:t>
            </w:r>
          </w:p>
          <w:p w14:paraId="1452801B" w14:textId="77777777" w:rsidR="006F236C" w:rsidRPr="0088562B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88562B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8562B">
              <w:rPr>
                <w:rFonts w:ascii="Garamond" w:hAnsi="Garamond"/>
                <w:szCs w:val="22"/>
                <w:lang w:val="ru-RU"/>
              </w:rPr>
              <w:t>≥0 – номер ступени;</w:t>
            </w:r>
          </w:p>
          <w:p w14:paraId="3C094B80" w14:textId="77777777" w:rsidR="006F236C" w:rsidRPr="0088562B" w:rsidRDefault="006F236C" w:rsidP="006F236C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position w:val="-14"/>
                <w:szCs w:val="22"/>
              </w:rPr>
              <w:object w:dxaOrig="1480" w:dyaOrig="400" w14:anchorId="0D8B8303">
                <v:shape id="_x0000_i1038" type="#_x0000_t75" style="width:77.25pt;height:18pt" o:ole="">
                  <v:imagedata r:id="rId18" o:title=""/>
                </v:shape>
                <o:OLEObject Type="Embed" ProgID="Equation.3" ShapeID="_x0000_i1038" DrawAspect="Content" ObjectID="_1791116503" r:id="rId26"/>
              </w:object>
            </w:r>
            <w:r w:rsidRPr="0088562B">
              <w:rPr>
                <w:rFonts w:ascii="Garamond" w:hAnsi="Garamond"/>
                <w:szCs w:val="22"/>
                <w:lang w:val="ru-RU"/>
              </w:rPr>
              <w:t>– объем ступени, предшествующей нулевой, равен нулю;</w:t>
            </w:r>
          </w:p>
          <w:p w14:paraId="4BA2301C" w14:textId="0A6CC3F4" w:rsidR="006F236C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88562B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8562B">
              <w:rPr>
                <w:rFonts w:ascii="Garamond" w:hAnsi="Garamond"/>
                <w:szCs w:val="22"/>
                <w:lang w:val="ru-RU"/>
              </w:rPr>
              <w:t xml:space="preserve"> – час операционных суток.</w:t>
            </w:r>
          </w:p>
          <w:p w14:paraId="09AC074A" w14:textId="1E19F273" w:rsidR="006F236C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3) в случаях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5.3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7 к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):</w:t>
            </w:r>
          </w:p>
          <w:p w14:paraId="27A04F11" w14:textId="77777777" w:rsidR="006F236C" w:rsidRPr="00EC748F" w:rsidRDefault="006F236C" w:rsidP="00E3760B">
            <w:pPr>
              <w:pStyle w:val="subsubclauseindent"/>
              <w:numPr>
                <w:ilvl w:val="0"/>
                <w:numId w:val="34"/>
              </w:numPr>
              <w:spacing w:before="60" w:after="6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для ГТП генерации, по которым влияние поданных участником оптового ценовых заявок было ограничено в соответствии с подпунктом 10 пункта 5.3 </w:t>
            </w:r>
            <w:r w:rsidRPr="00EC748F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EC748F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7 к </w:t>
            </w:r>
            <w:r w:rsidRPr="00EC748F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EC748F">
              <w:rPr>
                <w:rFonts w:ascii="Garamond" w:hAnsi="Garamond"/>
                <w:szCs w:val="22"/>
                <w:highlight w:val="yellow"/>
                <w:lang w:val="ru-RU"/>
              </w:rPr>
              <w:t>):</w:t>
            </w:r>
          </w:p>
          <w:p w14:paraId="1E45BF4B" w14:textId="461609C2" w:rsidR="006F236C" w:rsidRPr="00EC748F" w:rsidRDefault="00EC3161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EC748F">
              <w:rPr>
                <w:rFonts w:ascii="Garamond" w:hAnsi="Garamond"/>
                <w:position w:val="-28"/>
                <w:szCs w:val="22"/>
                <w:highlight w:val="yellow"/>
              </w:rPr>
              <w:object w:dxaOrig="6700" w:dyaOrig="540" w14:anchorId="24881F2D">
                <v:shape id="_x0000_i1039" type="#_x0000_t75" style="width:323.25pt;height:24.75pt" o:ole="">
                  <v:imagedata r:id="rId27" o:title=""/>
                </v:shape>
                <o:OLEObject Type="Embed" ProgID="Equation.3" ShapeID="_x0000_i1039" DrawAspect="Content" ObjectID="_1791116504" r:id="rId28"/>
              </w:object>
            </w:r>
            <w:r w:rsidR="006F236C" w:rsidRPr="00EC748F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14:paraId="6A74971C" w14:textId="77777777" w:rsidR="006F236C" w:rsidRPr="00B33DCF" w:rsidRDefault="006F236C" w:rsidP="00E3760B">
            <w:pPr>
              <w:pStyle w:val="subsubclauseindent"/>
              <w:numPr>
                <w:ilvl w:val="0"/>
                <w:numId w:val="34"/>
              </w:numPr>
              <w:spacing w:before="60" w:after="6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EC748F">
              <w:rPr>
                <w:rFonts w:ascii="Garamond" w:hAnsi="Garamond"/>
                <w:szCs w:val="22"/>
                <w:highlight w:val="yellow"/>
                <w:lang w:val="ru-RU"/>
              </w:rPr>
              <w:t xml:space="preserve">для прочих ГТП генерации, функционирующих на входящей в состав Дальневосточного федерального 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округа отдельной территории, ранее относившейся к неценовым зонам:</w:t>
            </w:r>
          </w:p>
          <w:p w14:paraId="15D5F121" w14:textId="77777777" w:rsidR="006F236C" w:rsidRPr="00B33DCF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position w:val="-14"/>
                <w:szCs w:val="22"/>
                <w:highlight w:val="yellow"/>
              </w:rPr>
              <w:object w:dxaOrig="4420" w:dyaOrig="400" w14:anchorId="14B9442A">
                <v:shape id="_x0000_i1040" type="#_x0000_t75" style="width:239.25pt;height:23.25pt" o:ole="">
                  <v:imagedata r:id="rId29" o:title=""/>
                </v:shape>
                <o:OLEObject Type="Embed" ProgID="Equation.3" ShapeID="_x0000_i1040" DrawAspect="Content" ObjectID="_1791116505" r:id="rId30"/>
              </w:objec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, </w:t>
            </w:r>
          </w:p>
          <w:p w14:paraId="4B903E4D" w14:textId="138FFCA0" w:rsidR="006F236C" w:rsidRPr="00B33DCF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где </w:t>
            </w:r>
          </w:p>
          <w:p w14:paraId="15DB3230" w14:textId="2F26859D" w:rsidR="00F13669" w:rsidRPr="00B33DCF" w:rsidRDefault="00F13669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position w:val="-14"/>
                <w:szCs w:val="22"/>
                <w:highlight w:val="yellow"/>
              </w:rPr>
              <w:object w:dxaOrig="1480" w:dyaOrig="400" w14:anchorId="1521076C">
                <v:shape id="_x0000_i1041" type="#_x0000_t75" style="width:1in;height:18pt" o:ole="">
                  <v:imagedata r:id="rId10" o:title=""/>
                </v:shape>
                <o:OLEObject Type="Embed" ProgID="Equation.3" ShapeID="_x0000_i1041" DrawAspect="Content" ObjectID="_1791116506" r:id="rId31"/>
              </w:objec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операционных суток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, определенная в соответствии с настоящим пунктом;</w:t>
            </w:r>
          </w:p>
          <w:p w14:paraId="288C6209" w14:textId="26398E8E" w:rsidR="006F236C" w:rsidRPr="00B33DCF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position w:val="-14"/>
                <w:szCs w:val="22"/>
                <w:highlight w:val="yellow"/>
              </w:rPr>
              <w:object w:dxaOrig="1140" w:dyaOrig="400" w14:anchorId="0F55FAF7">
                <v:shape id="_x0000_i1042" type="#_x0000_t75" style="width:1in;height:24pt" o:ole="">
                  <v:imagedata r:id="rId32" o:title=""/>
                </v:shape>
                <o:OLEObject Type="Embed" ProgID="Equation.3" ShapeID="_x0000_i1042" DrawAspect="Content" ObjectID="_1791116507" r:id="rId33"/>
              </w:objec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[руб./МВт</w:t>
            </w:r>
            <w:r w:rsidRPr="00B33DCF">
              <w:rPr>
                <w:rFonts w:ascii="Garamond" w:hAnsi="Garamond"/>
                <w:szCs w:val="22"/>
                <w:highlight w:val="yellow"/>
              </w:rPr>
              <w:sym w:font="Symbol" w:char="F0D7"/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ч] – цена модельной пары «цена – количество»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l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отношении часа операционных суток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ценовой заявке участника оптового рынка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по ГТП генерации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, сформированной в соответствии с п. 16 раздела 4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Регламента проведения конкурентного отбора ценовых заявок на сутки вперед 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к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</w:t>
            </w:r>
            <w:r w:rsidRPr="009851E2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2C99B00A" w14:textId="77777777" w:rsidR="006F236C" w:rsidRPr="00B33DCF" w:rsidRDefault="006F236C" w:rsidP="006F236C">
            <w:pPr>
              <w:pStyle w:val="subsubclauseindent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position w:val="-54"/>
                <w:szCs w:val="22"/>
                <w:highlight w:val="yellow"/>
              </w:rPr>
              <w:object w:dxaOrig="7240" w:dyaOrig="1200" w14:anchorId="7089A06E">
                <v:shape id="_x0000_i1043" type="#_x0000_t75" style="width:342pt;height:59.25pt" o:ole="">
                  <v:imagedata r:id="rId34" o:title=""/>
                </v:shape>
                <o:OLEObject Type="Embed" ProgID="Equation.3" ShapeID="_x0000_i1043" DrawAspect="Content" ObjectID="_1791116508" r:id="rId35"/>
              </w:objec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646A003A" w14:textId="55C8C2A9" w:rsidR="006F236C" w:rsidRPr="00B33DCF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i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position w:val="-14"/>
                <w:szCs w:val="22"/>
                <w:highlight w:val="yellow"/>
              </w:rPr>
              <w:object w:dxaOrig="940" w:dyaOrig="400" w14:anchorId="6ADC9FD5">
                <v:shape id="_x0000_i1044" type="#_x0000_t75" style="width:48pt;height:18pt" o:ole="">
                  <v:imagedata r:id="rId36" o:title=""/>
                </v:shape>
                <o:OLEObject Type="Embed" ProgID="Equation.3" ShapeID="_x0000_i1044" DrawAspect="Content" ObjectID="_1791116509" r:id="rId37"/>
              </w:objec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объем модельной пары «цена – количество»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l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 в отношении часа операционных суток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="00F13669"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ценовой заявке участника оптового рынка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по ГТП 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генерации 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, сформированной в соответствии с п. 16 раздела 4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Регламента проведения конкурентного отбора ценовых заявок на сутки вперед 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к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</w:t>
            </w:r>
            <w:r w:rsidRPr="009851E2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14:paraId="5197940D" w14:textId="2D993E7F" w:rsidR="006F236C" w:rsidRPr="00B33DCF" w:rsidRDefault="006F236C" w:rsidP="006F236C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position w:val="-14"/>
                <w:szCs w:val="22"/>
                <w:highlight w:val="yellow"/>
              </w:rPr>
              <w:object w:dxaOrig="1480" w:dyaOrig="400" w14:anchorId="5E9455F5">
                <v:shape id="_x0000_i1045" type="#_x0000_t75" style="width:77.25pt;height:18pt" o:ole="">
                  <v:imagedata r:id="rId38" o:title=""/>
                </v:shape>
                <o:OLEObject Type="Embed" ProgID="Equation.3" ShapeID="_x0000_i1045" DrawAspect="Content" ObjectID="_1791116510" r:id="rId39"/>
              </w:objec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>– объем ступени, предшествующей нулевой, равен нулю;</w:t>
            </w:r>
          </w:p>
          <w:p w14:paraId="05C4197B" w14:textId="77777777" w:rsidR="006F236C" w:rsidRPr="00B33DCF" w:rsidRDefault="006F236C" w:rsidP="006F236C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D</w:t>
            </w:r>
            <w:r w:rsidRPr="00B33DCF">
              <w:rPr>
                <w:rFonts w:ascii="Garamond" w:hAnsi="Garamond"/>
                <w:i/>
                <w:szCs w:val="22"/>
                <w:highlight w:val="yellow"/>
                <w:lang w:val="ru-RU"/>
              </w:rPr>
              <w:t>1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регулируемый договор;</w:t>
            </w:r>
          </w:p>
          <w:p w14:paraId="083718F1" w14:textId="77777777" w:rsidR="006F236C" w:rsidRPr="00B33DCF" w:rsidRDefault="006F236C" w:rsidP="006F236C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i/>
                <w:szCs w:val="22"/>
                <w:highlight w:val="yellow"/>
              </w:rPr>
              <w:t>i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участник оптового рынка;</w:t>
            </w:r>
          </w:p>
          <w:p w14:paraId="44C48D4C" w14:textId="77777777" w:rsidR="006F236C" w:rsidRPr="00B33DCF" w:rsidRDefault="006F236C" w:rsidP="006F236C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ГТП генерации; </w:t>
            </w:r>
          </w:p>
          <w:p w14:paraId="436D7BD8" w14:textId="77777777" w:rsidR="006F236C" w:rsidRPr="006B48CD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 w:rsidRPr="00B33DC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B33DCF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час операционных суток.</w:t>
            </w:r>
          </w:p>
          <w:p w14:paraId="4433F1BE" w14:textId="1853E7C2" w:rsidR="006F236C" w:rsidRPr="006F236C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…</w:t>
            </w:r>
          </w:p>
          <w:p w14:paraId="17CDEF86" w14:textId="77777777" w:rsidR="006F236C" w:rsidRPr="004E432E" w:rsidRDefault="006F236C" w:rsidP="006F236C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lang w:val="ru-RU"/>
              </w:rPr>
            </w:pPr>
          </w:p>
        </w:tc>
      </w:tr>
    </w:tbl>
    <w:p w14:paraId="4D02BEC2" w14:textId="77777777" w:rsidR="00551638" w:rsidRDefault="00551638" w:rsidP="00780BF6">
      <w:pPr>
        <w:jc w:val="right"/>
        <w:rPr>
          <w:rFonts w:ascii="Garamond" w:hAnsi="Garamond" w:cs="Tahoma"/>
          <w:b/>
          <w:sz w:val="28"/>
          <w:szCs w:val="28"/>
        </w:rPr>
      </w:pPr>
    </w:p>
    <w:sectPr w:rsidR="00551638" w:rsidSect="0070395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5EC291F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568"/>
        </w:tabs>
        <w:ind w:left="568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78A5F1E"/>
    <w:multiLevelType w:val="hybridMultilevel"/>
    <w:tmpl w:val="B11E6E70"/>
    <w:lvl w:ilvl="0" w:tplc="CA70A70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E44CA3"/>
    <w:multiLevelType w:val="hybridMultilevel"/>
    <w:tmpl w:val="80BE978C"/>
    <w:lvl w:ilvl="0" w:tplc="B2BEC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10725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B66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F268A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7A0A6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EC56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1F89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6D8E6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52CB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C1486"/>
    <w:multiLevelType w:val="hybridMultilevel"/>
    <w:tmpl w:val="C38A0EBA"/>
    <w:lvl w:ilvl="0" w:tplc="FFFFFFFF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7D1640C"/>
    <w:multiLevelType w:val="hybridMultilevel"/>
    <w:tmpl w:val="BC988D22"/>
    <w:lvl w:ilvl="0" w:tplc="0F8CAE3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3C141BBA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EFF05E5A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2E12DED0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4F088042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194845A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53CA8A8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DF6A6C28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C3FC3856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18F65D7F"/>
    <w:multiLevelType w:val="hybridMultilevel"/>
    <w:tmpl w:val="15666398"/>
    <w:lvl w:ilvl="0" w:tplc="EDC41F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515C05"/>
    <w:multiLevelType w:val="hybridMultilevel"/>
    <w:tmpl w:val="0CA0CFDA"/>
    <w:lvl w:ilvl="0" w:tplc="3CCEFB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EB5AFC"/>
    <w:multiLevelType w:val="hybridMultilevel"/>
    <w:tmpl w:val="7728A5B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8" w15:restartNumberingAfterBreak="0">
    <w:nsid w:val="23495B11"/>
    <w:multiLevelType w:val="hybridMultilevel"/>
    <w:tmpl w:val="0F687F1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8603C16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  <w:sz w:val="22"/>
        <w:szCs w:val="22"/>
      </w:rPr>
    </w:lvl>
    <w:lvl w:ilvl="2" w:tplc="04190005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4F335DB"/>
    <w:multiLevelType w:val="hybridMultilevel"/>
    <w:tmpl w:val="062E503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8207ADA"/>
    <w:multiLevelType w:val="hybridMultilevel"/>
    <w:tmpl w:val="ECE8FD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F195A"/>
    <w:multiLevelType w:val="hybridMultilevel"/>
    <w:tmpl w:val="7A9062FA"/>
    <w:lvl w:ilvl="0" w:tplc="B6963482">
      <w:start w:val="1"/>
      <w:numFmt w:val="bullet"/>
      <w:lvlText w:val=""/>
      <w:lvlJc w:val="left"/>
      <w:pPr>
        <w:tabs>
          <w:tab w:val="num" w:pos="1210"/>
        </w:tabs>
        <w:ind w:left="1210" w:hanging="567"/>
      </w:pPr>
      <w:rPr>
        <w:rFonts w:ascii="Symbol" w:hAnsi="Symbol" w:hint="default"/>
      </w:rPr>
    </w:lvl>
    <w:lvl w:ilvl="1" w:tplc="A77E03BA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33909BE0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753610B6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829E464A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D50EFB58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1D4C509E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25602068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A3D00D6E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2" w15:restartNumberingAfterBreak="0">
    <w:nsid w:val="30D4769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69F3D5A"/>
    <w:multiLevelType w:val="hybridMultilevel"/>
    <w:tmpl w:val="CC9888FA"/>
    <w:lvl w:ilvl="0" w:tplc="FFFFFFFF">
      <w:numFmt w:val="bullet"/>
      <w:lvlText w:val="–"/>
      <w:lvlJc w:val="left"/>
      <w:pPr>
        <w:ind w:left="1571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6DD0925"/>
    <w:multiLevelType w:val="hybridMultilevel"/>
    <w:tmpl w:val="AB5E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20324"/>
    <w:multiLevelType w:val="hybridMultilevel"/>
    <w:tmpl w:val="37F04D0A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8BF3846"/>
    <w:multiLevelType w:val="hybridMultilevel"/>
    <w:tmpl w:val="4510DC80"/>
    <w:lvl w:ilvl="0" w:tplc="931C3A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979E2B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58F6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C6478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A699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6A04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01242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2EEF0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D65B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032A27"/>
    <w:multiLevelType w:val="hybridMultilevel"/>
    <w:tmpl w:val="CB4E0FD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D7787E"/>
    <w:multiLevelType w:val="hybridMultilevel"/>
    <w:tmpl w:val="00984890"/>
    <w:lvl w:ilvl="0" w:tplc="92A439A8">
      <w:start w:val="4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686A41A6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7F23E6A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F12CBA6E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C29A04E0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4B764FA0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2F82EAAC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5F047992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3E00FEE2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9" w15:restartNumberingAfterBreak="0">
    <w:nsid w:val="48A94B33"/>
    <w:multiLevelType w:val="hybridMultilevel"/>
    <w:tmpl w:val="7F80ADE4"/>
    <w:lvl w:ilvl="0" w:tplc="04A6AC46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20" w15:restartNumberingAfterBreak="0">
    <w:nsid w:val="495A5314"/>
    <w:multiLevelType w:val="hybridMultilevel"/>
    <w:tmpl w:val="0004F99E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694445"/>
    <w:multiLevelType w:val="hybridMultilevel"/>
    <w:tmpl w:val="CDBC2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14414A"/>
    <w:multiLevelType w:val="hybridMultilevel"/>
    <w:tmpl w:val="1A48B49E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cs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A1D66BC"/>
    <w:multiLevelType w:val="hybridMultilevel"/>
    <w:tmpl w:val="C2A2609A"/>
    <w:lvl w:ilvl="0" w:tplc="04190001">
      <w:start w:val="2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03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</w:rPr>
    </w:lvl>
    <w:lvl w:ilvl="2" w:tplc="04190005">
      <w:start w:val="1"/>
      <w:numFmt w:val="lowerLetter"/>
      <w:lvlText w:val="%3)"/>
      <w:lvlJc w:val="right"/>
      <w:pPr>
        <w:tabs>
          <w:tab w:val="num" w:pos="2793"/>
        </w:tabs>
        <w:ind w:left="2793" w:hanging="180"/>
      </w:pPr>
      <w:rPr>
        <w:rFonts w:ascii="Garamond" w:eastAsia="Times New Roman" w:hAnsi="Garamond" w:cs="Times New Roman" w:hint="default"/>
      </w:rPr>
    </w:lvl>
    <w:lvl w:ilvl="3" w:tplc="6CE04E42">
      <w:start w:val="1"/>
      <w:numFmt w:val="decimal"/>
      <w:lvlText w:val="%4)"/>
      <w:lvlJc w:val="left"/>
      <w:pPr>
        <w:tabs>
          <w:tab w:val="num" w:pos="3513"/>
        </w:tabs>
        <w:ind w:left="3513" w:hanging="360"/>
      </w:pPr>
      <w:rPr>
        <w:rFonts w:ascii="Garamond" w:eastAsia="Times New Roman" w:hAnsi="Garamond"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4" w15:restartNumberingAfterBreak="0">
    <w:nsid w:val="63E0542C"/>
    <w:multiLevelType w:val="multilevel"/>
    <w:tmpl w:val="C9E870A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9D43E52"/>
    <w:multiLevelType w:val="hybridMultilevel"/>
    <w:tmpl w:val="A074237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44918"/>
    <w:multiLevelType w:val="hybridMultilevel"/>
    <w:tmpl w:val="CEF66A2E"/>
    <w:lvl w:ilvl="0" w:tplc="F2124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311C45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16B7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A9E98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B625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189F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BF84E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65AD7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569F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28" w15:restartNumberingAfterBreak="0">
    <w:nsid w:val="6D5530FC"/>
    <w:multiLevelType w:val="hybridMultilevel"/>
    <w:tmpl w:val="DF963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4056E9"/>
    <w:multiLevelType w:val="hybridMultilevel"/>
    <w:tmpl w:val="02FA7AA0"/>
    <w:lvl w:ilvl="0" w:tplc="9FA4FE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4634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7CB3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0C9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A59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4805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7A6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C3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ABE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75601C"/>
    <w:multiLevelType w:val="hybridMultilevel"/>
    <w:tmpl w:val="8994552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25E4079"/>
    <w:multiLevelType w:val="hybridMultilevel"/>
    <w:tmpl w:val="E3EA3232"/>
    <w:lvl w:ilvl="0" w:tplc="02663C42">
      <w:start w:val="1"/>
      <w:numFmt w:val="decimal"/>
      <w:lvlText w:val="%1)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165C4E94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E4B21776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771CDFFA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F6ACC6F4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632089A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808CD84E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BF9A1CAE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9D765E2A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32" w15:restartNumberingAfterBreak="0">
    <w:nsid w:val="731B3063"/>
    <w:multiLevelType w:val="hybridMultilevel"/>
    <w:tmpl w:val="E200D3DE"/>
    <w:lvl w:ilvl="0" w:tplc="A522B9B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79685A08"/>
    <w:multiLevelType w:val="hybridMultilevel"/>
    <w:tmpl w:val="6452FA92"/>
    <w:lvl w:ilvl="0" w:tplc="91C477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D6D40D1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36D608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C3462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9F6B7A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2C25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98881E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89072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E16AB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464263"/>
    <w:multiLevelType w:val="hybridMultilevel"/>
    <w:tmpl w:val="0A781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E816356"/>
    <w:multiLevelType w:val="hybridMultilevel"/>
    <w:tmpl w:val="7F80ADE4"/>
    <w:lvl w:ilvl="0" w:tplc="04A6AC46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num w:numId="1" w16cid:durableId="83304088">
    <w:abstractNumId w:val="0"/>
  </w:num>
  <w:num w:numId="2" w16cid:durableId="1687513141">
    <w:abstractNumId w:val="24"/>
  </w:num>
  <w:num w:numId="3" w16cid:durableId="894505113">
    <w:abstractNumId w:val="7"/>
  </w:num>
  <w:num w:numId="4" w16cid:durableId="831526267">
    <w:abstractNumId w:val="27"/>
  </w:num>
  <w:num w:numId="5" w16cid:durableId="776098605">
    <w:abstractNumId w:val="20"/>
  </w:num>
  <w:num w:numId="6" w16cid:durableId="564872517">
    <w:abstractNumId w:val="9"/>
  </w:num>
  <w:num w:numId="7" w16cid:durableId="1227718339">
    <w:abstractNumId w:val="11"/>
  </w:num>
  <w:num w:numId="8" w16cid:durableId="1209294020">
    <w:abstractNumId w:val="18"/>
  </w:num>
  <w:num w:numId="9" w16cid:durableId="154499148">
    <w:abstractNumId w:val="3"/>
  </w:num>
  <w:num w:numId="10" w16cid:durableId="1499492668">
    <w:abstractNumId w:val="25"/>
  </w:num>
  <w:num w:numId="11" w16cid:durableId="1592739710">
    <w:abstractNumId w:val="29"/>
  </w:num>
  <w:num w:numId="12" w16cid:durableId="1304237080">
    <w:abstractNumId w:val="23"/>
  </w:num>
  <w:num w:numId="13" w16cid:durableId="1444500850">
    <w:abstractNumId w:val="6"/>
  </w:num>
  <w:num w:numId="14" w16cid:durableId="1109622006">
    <w:abstractNumId w:val="2"/>
  </w:num>
  <w:num w:numId="15" w16cid:durableId="1923370161">
    <w:abstractNumId w:val="15"/>
  </w:num>
  <w:num w:numId="16" w16cid:durableId="512957783">
    <w:abstractNumId w:val="5"/>
  </w:num>
  <w:num w:numId="17" w16cid:durableId="1156604456">
    <w:abstractNumId w:val="26"/>
  </w:num>
  <w:num w:numId="18" w16cid:durableId="566459811">
    <w:abstractNumId w:val="33"/>
  </w:num>
  <w:num w:numId="19" w16cid:durableId="1774667190">
    <w:abstractNumId w:val="16"/>
  </w:num>
  <w:num w:numId="20" w16cid:durableId="158880481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21" w16cid:durableId="1118570314">
    <w:abstractNumId w:val="34"/>
  </w:num>
  <w:num w:numId="22" w16cid:durableId="102401226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23" w16cid:durableId="146958823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24" w16cid:durableId="773355629">
    <w:abstractNumId w:val="31"/>
  </w:num>
  <w:num w:numId="25" w16cid:durableId="100933393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26" w16cid:durableId="1789540929">
    <w:abstractNumId w:val="10"/>
  </w:num>
  <w:num w:numId="27" w16cid:durableId="719746412">
    <w:abstractNumId w:val="1"/>
  </w:num>
  <w:num w:numId="28" w16cid:durableId="452865650">
    <w:abstractNumId w:val="4"/>
  </w:num>
  <w:num w:numId="29" w16cid:durableId="830799887">
    <w:abstractNumId w:val="12"/>
  </w:num>
  <w:num w:numId="30" w16cid:durableId="1694333461">
    <w:abstractNumId w:val="32"/>
  </w:num>
  <w:num w:numId="31" w16cid:durableId="45490772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32" w16cid:durableId="2045249947">
    <w:abstractNumId w:val="21"/>
  </w:num>
  <w:num w:numId="33" w16cid:durableId="450366684">
    <w:abstractNumId w:val="22"/>
  </w:num>
  <w:num w:numId="34" w16cid:durableId="652298104">
    <w:abstractNumId w:val="14"/>
  </w:num>
  <w:num w:numId="35" w16cid:durableId="384371586">
    <w:abstractNumId w:val="17"/>
  </w:num>
  <w:num w:numId="36" w16cid:durableId="1645814843">
    <w:abstractNumId w:val="8"/>
  </w:num>
  <w:num w:numId="37" w16cid:durableId="175577251">
    <w:abstractNumId w:val="13"/>
  </w:num>
  <w:num w:numId="38" w16cid:durableId="1731227857">
    <w:abstractNumId w:val="28"/>
  </w:num>
  <w:num w:numId="39" w16cid:durableId="1323660639">
    <w:abstractNumId w:val="19"/>
  </w:num>
  <w:num w:numId="40" w16cid:durableId="596526039">
    <w:abstractNumId w:val="35"/>
  </w:num>
  <w:num w:numId="41" w16cid:durableId="1961256833">
    <w:abstractNumId w:val="3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CCC"/>
    <w:rsid w:val="00022B98"/>
    <w:rsid w:val="000236A3"/>
    <w:rsid w:val="00035B5D"/>
    <w:rsid w:val="00037C74"/>
    <w:rsid w:val="00071290"/>
    <w:rsid w:val="00073764"/>
    <w:rsid w:val="000B036A"/>
    <w:rsid w:val="000B753F"/>
    <w:rsid w:val="000C5711"/>
    <w:rsid w:val="000D0052"/>
    <w:rsid w:val="000F5EEC"/>
    <w:rsid w:val="00112DF0"/>
    <w:rsid w:val="0011709A"/>
    <w:rsid w:val="001213A1"/>
    <w:rsid w:val="00194036"/>
    <w:rsid w:val="001F2C47"/>
    <w:rsid w:val="001F4A88"/>
    <w:rsid w:val="00213732"/>
    <w:rsid w:val="00240387"/>
    <w:rsid w:val="0024439D"/>
    <w:rsid w:val="002475C4"/>
    <w:rsid w:val="00271A1D"/>
    <w:rsid w:val="0028300B"/>
    <w:rsid w:val="002D3B61"/>
    <w:rsid w:val="002E0673"/>
    <w:rsid w:val="002F5ACC"/>
    <w:rsid w:val="003076BD"/>
    <w:rsid w:val="0031093B"/>
    <w:rsid w:val="003125F6"/>
    <w:rsid w:val="00317FEE"/>
    <w:rsid w:val="00331C19"/>
    <w:rsid w:val="003329DA"/>
    <w:rsid w:val="003407EA"/>
    <w:rsid w:val="00343982"/>
    <w:rsid w:val="003532F9"/>
    <w:rsid w:val="003F52C0"/>
    <w:rsid w:val="0040372B"/>
    <w:rsid w:val="00414580"/>
    <w:rsid w:val="004247B0"/>
    <w:rsid w:val="0045345E"/>
    <w:rsid w:val="00454F0B"/>
    <w:rsid w:val="00456034"/>
    <w:rsid w:val="004608B1"/>
    <w:rsid w:val="00467140"/>
    <w:rsid w:val="00487453"/>
    <w:rsid w:val="004A4DD6"/>
    <w:rsid w:val="004E432E"/>
    <w:rsid w:val="004F684A"/>
    <w:rsid w:val="005119C3"/>
    <w:rsid w:val="00516D6A"/>
    <w:rsid w:val="00551638"/>
    <w:rsid w:val="00563DF7"/>
    <w:rsid w:val="005652FB"/>
    <w:rsid w:val="00594AF1"/>
    <w:rsid w:val="005A012F"/>
    <w:rsid w:val="005A3E0D"/>
    <w:rsid w:val="005F33F4"/>
    <w:rsid w:val="005F3C2E"/>
    <w:rsid w:val="0060744F"/>
    <w:rsid w:val="006408A4"/>
    <w:rsid w:val="00646278"/>
    <w:rsid w:val="00662B6C"/>
    <w:rsid w:val="006654DE"/>
    <w:rsid w:val="0067017F"/>
    <w:rsid w:val="006824BF"/>
    <w:rsid w:val="006B48CD"/>
    <w:rsid w:val="006C0629"/>
    <w:rsid w:val="006D141E"/>
    <w:rsid w:val="006D30F1"/>
    <w:rsid w:val="006F236C"/>
    <w:rsid w:val="006F562B"/>
    <w:rsid w:val="00703954"/>
    <w:rsid w:val="007139CE"/>
    <w:rsid w:val="00720FD2"/>
    <w:rsid w:val="00725CA2"/>
    <w:rsid w:val="00734348"/>
    <w:rsid w:val="0073455F"/>
    <w:rsid w:val="00753DAC"/>
    <w:rsid w:val="0075665A"/>
    <w:rsid w:val="0075733E"/>
    <w:rsid w:val="00772471"/>
    <w:rsid w:val="00780BF6"/>
    <w:rsid w:val="007E45F1"/>
    <w:rsid w:val="007F7C14"/>
    <w:rsid w:val="00803870"/>
    <w:rsid w:val="00821C56"/>
    <w:rsid w:val="008536CF"/>
    <w:rsid w:val="0085446F"/>
    <w:rsid w:val="008765B7"/>
    <w:rsid w:val="00897947"/>
    <w:rsid w:val="008A35BB"/>
    <w:rsid w:val="008A79DE"/>
    <w:rsid w:val="008D1F0B"/>
    <w:rsid w:val="008D2181"/>
    <w:rsid w:val="00904FEE"/>
    <w:rsid w:val="00910F2F"/>
    <w:rsid w:val="009400B4"/>
    <w:rsid w:val="00945553"/>
    <w:rsid w:val="009851E2"/>
    <w:rsid w:val="009A19C5"/>
    <w:rsid w:val="009A7109"/>
    <w:rsid w:val="009B2D8B"/>
    <w:rsid w:val="009B3BCD"/>
    <w:rsid w:val="009F0E99"/>
    <w:rsid w:val="00A07B2F"/>
    <w:rsid w:val="00A2094E"/>
    <w:rsid w:val="00A372ED"/>
    <w:rsid w:val="00A514DD"/>
    <w:rsid w:val="00A51EDC"/>
    <w:rsid w:val="00A563F3"/>
    <w:rsid w:val="00A8461E"/>
    <w:rsid w:val="00A96C96"/>
    <w:rsid w:val="00AD07B9"/>
    <w:rsid w:val="00AD4C89"/>
    <w:rsid w:val="00AF3E31"/>
    <w:rsid w:val="00B03832"/>
    <w:rsid w:val="00B31E64"/>
    <w:rsid w:val="00B33DCF"/>
    <w:rsid w:val="00B826DA"/>
    <w:rsid w:val="00BD6030"/>
    <w:rsid w:val="00BE412A"/>
    <w:rsid w:val="00BF25BF"/>
    <w:rsid w:val="00C0609B"/>
    <w:rsid w:val="00C402B8"/>
    <w:rsid w:val="00C45714"/>
    <w:rsid w:val="00C5713F"/>
    <w:rsid w:val="00CA4454"/>
    <w:rsid w:val="00CC06D7"/>
    <w:rsid w:val="00CC1DAB"/>
    <w:rsid w:val="00CE0CCC"/>
    <w:rsid w:val="00CE60BF"/>
    <w:rsid w:val="00D07C35"/>
    <w:rsid w:val="00D07D83"/>
    <w:rsid w:val="00D12910"/>
    <w:rsid w:val="00D25C9A"/>
    <w:rsid w:val="00D456DF"/>
    <w:rsid w:val="00D54B92"/>
    <w:rsid w:val="00D86FDD"/>
    <w:rsid w:val="00DB6CFE"/>
    <w:rsid w:val="00DB7585"/>
    <w:rsid w:val="00E36529"/>
    <w:rsid w:val="00E3760B"/>
    <w:rsid w:val="00E47C64"/>
    <w:rsid w:val="00E825AD"/>
    <w:rsid w:val="00E833F2"/>
    <w:rsid w:val="00E97543"/>
    <w:rsid w:val="00EA4962"/>
    <w:rsid w:val="00EB180A"/>
    <w:rsid w:val="00EC3161"/>
    <w:rsid w:val="00EC748F"/>
    <w:rsid w:val="00F13669"/>
    <w:rsid w:val="00F5585D"/>
    <w:rsid w:val="00F609EE"/>
    <w:rsid w:val="00F636BF"/>
    <w:rsid w:val="00FA1489"/>
    <w:rsid w:val="00FE20F1"/>
    <w:rsid w:val="00FE4CB0"/>
    <w:rsid w:val="00FE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00E5F006"/>
  <w15:chartTrackingRefBased/>
  <w15:docId w15:val="{31AF0F62-3F2D-49B0-A6CB-C6832195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autoRedefine/>
    <w:uiPriority w:val="99"/>
    <w:qFormat/>
    <w:rsid w:val="00487453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h2,h21,Reset numbering,Заголовок пункта (1.1),5,222"/>
    <w:basedOn w:val="a"/>
    <w:next w:val="3"/>
    <w:link w:val="20"/>
    <w:uiPriority w:val="99"/>
    <w:qFormat/>
    <w:rsid w:val="007F7C14"/>
    <w:pPr>
      <w:keepNext/>
      <w:tabs>
        <w:tab w:val="num" w:pos="357"/>
      </w:tabs>
      <w:spacing w:before="180" w:after="180"/>
      <w:ind w:left="357" w:hanging="357"/>
      <w:jc w:val="both"/>
      <w:outlineLvl w:val="1"/>
    </w:pPr>
    <w:rPr>
      <w:b/>
      <w:szCs w:val="20"/>
      <w:lang w:eastAsia="en-US"/>
    </w:rPr>
  </w:style>
  <w:style w:type="paragraph" w:styleId="3">
    <w:name w:val="heading 3"/>
    <w:aliases w:val="H3,Level 1 - 1,Заголовок подпукта (1.1.1),o"/>
    <w:basedOn w:val="a"/>
    <w:next w:val="a"/>
    <w:link w:val="31"/>
    <w:uiPriority w:val="99"/>
    <w:qFormat/>
    <w:rsid w:val="00487453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487453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uiPriority w:val="9"/>
    <w:qFormat/>
    <w:rsid w:val="00487453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uiPriority w:val="99"/>
    <w:qFormat/>
    <w:rsid w:val="00487453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487453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487453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487453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874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uiPriority w:val="99"/>
    <w:rsid w:val="00487453"/>
    <w:rPr>
      <w:rFonts w:ascii="Arial" w:eastAsia="Times New Roman" w:hAnsi="Arial" w:cs="Arial"/>
      <w:b/>
      <w:bCs/>
      <w:sz w:val="24"/>
      <w:szCs w:val="24"/>
      <w:lang w:val="en-US" w:eastAsia="ru-RU"/>
    </w:rPr>
  </w:style>
  <w:style w:type="character" w:customStyle="1" w:styleId="31">
    <w:name w:val="Заголовок 3 Знак"/>
    <w:aliases w:val="H3 Знак,Level 1 - 1 Знак,Заголовок подпукта (1.1.1) Знак,o Знак"/>
    <w:basedOn w:val="a0"/>
    <w:link w:val="3"/>
    <w:uiPriority w:val="99"/>
    <w:qFormat/>
    <w:rsid w:val="00487453"/>
    <w:rPr>
      <w:rFonts w:ascii="Times New Roman" w:eastAsia="Times New Roman" w:hAnsi="Times New Roman" w:cs="Times New Roman"/>
      <w:b/>
      <w:bCs/>
      <w:iCs/>
      <w:sz w:val="20"/>
      <w:szCs w:val="20"/>
      <w:lang w:eastAsia="ru-RU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487453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uiPriority w:val="9"/>
    <w:rsid w:val="0048745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487453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487453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qFormat/>
    <w:rsid w:val="00487453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487453"/>
    <w:rPr>
      <w:rFonts w:ascii="Arial" w:eastAsia="Times New Roman" w:hAnsi="Arial" w:cs="Times New Roman"/>
      <w:i/>
      <w:sz w:val="18"/>
      <w:szCs w:val="20"/>
      <w:lang w:val="en-GB"/>
    </w:rPr>
  </w:style>
  <w:style w:type="table" w:styleId="a3">
    <w:name w:val="Table Grid"/>
    <w:basedOn w:val="a1"/>
    <w:uiPriority w:val="39"/>
    <w:rsid w:val="00487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487453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5">
    <w:name w:val="Заголовок Знак"/>
    <w:basedOn w:val="a0"/>
    <w:link w:val="a4"/>
    <w:qFormat/>
    <w:rsid w:val="00487453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subsubclauseindent">
    <w:name w:val="subsubclauseindent"/>
    <w:basedOn w:val="a"/>
    <w:qFormat/>
    <w:rsid w:val="00487453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a6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7"/>
    <w:uiPriority w:val="34"/>
    <w:qFormat/>
    <w:rsid w:val="00487453"/>
    <w:pPr>
      <w:ind w:left="720"/>
      <w:contextualSpacing/>
    </w:pPr>
  </w:style>
  <w:style w:type="character" w:customStyle="1" w:styleId="a7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6"/>
    <w:uiPriority w:val="34"/>
    <w:qFormat/>
    <w:rsid w:val="004874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body text"/>
    <w:basedOn w:val="a"/>
    <w:link w:val="a9"/>
    <w:rsid w:val="00487453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basedOn w:val="a0"/>
    <w:link w:val="a8"/>
    <w:uiPriority w:val="99"/>
    <w:rsid w:val="004874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caption"/>
    <w:basedOn w:val="a"/>
    <w:next w:val="a"/>
    <w:qFormat/>
    <w:rsid w:val="00C5713F"/>
    <w:pPr>
      <w:spacing w:before="120" w:after="120" w:line="270" w:lineRule="atLeast"/>
      <w:ind w:left="1134"/>
    </w:pPr>
    <w:rPr>
      <w:rFonts w:ascii="NewsGoth Lt BT" w:hAnsi="NewsGoth Lt BT"/>
      <w:sz w:val="15"/>
      <w:szCs w:val="20"/>
      <w:lang w:val="de-DE"/>
    </w:rPr>
  </w:style>
  <w:style w:type="paragraph" w:customStyle="1" w:styleId="ab">
    <w:name w:val="мое"/>
    <w:basedOn w:val="a8"/>
    <w:link w:val="ac"/>
    <w:qFormat/>
    <w:rsid w:val="005119C3"/>
    <w:pPr>
      <w:spacing w:before="120" w:after="120"/>
      <w:ind w:firstLine="567"/>
    </w:pPr>
    <w:rPr>
      <w:rFonts w:ascii="Garamond" w:hAnsi="Garamond"/>
      <w:sz w:val="22"/>
      <w:szCs w:val="22"/>
      <w:lang w:val="en-GB" w:eastAsia="en-US"/>
    </w:rPr>
  </w:style>
  <w:style w:type="character" w:customStyle="1" w:styleId="ac">
    <w:name w:val="мое Знак"/>
    <w:basedOn w:val="a0"/>
    <w:link w:val="ab"/>
    <w:rsid w:val="005119C3"/>
    <w:rPr>
      <w:rFonts w:ascii="Garamond" w:eastAsia="Times New Roman" w:hAnsi="Garamond" w:cs="Times New Roman"/>
      <w:lang w:val="en-GB"/>
    </w:rPr>
  </w:style>
  <w:style w:type="character" w:customStyle="1" w:styleId="20">
    <w:name w:val="Заголовок 2 Знак"/>
    <w:aliases w:val="h2 Знак,h21 Знак,Reset numbering Знак,Заголовок пункта (1.1) Знак,5 Знак,222 Знак"/>
    <w:basedOn w:val="a0"/>
    <w:link w:val="2"/>
    <w:uiPriority w:val="99"/>
    <w:rsid w:val="007F7C1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ubclauseindent">
    <w:name w:val="subclauseindent"/>
    <w:basedOn w:val="a"/>
    <w:uiPriority w:val="99"/>
    <w:qFormat/>
    <w:rsid w:val="007F7C14"/>
    <w:pPr>
      <w:spacing w:before="120" w:after="120"/>
      <w:ind w:left="1701"/>
      <w:jc w:val="both"/>
    </w:pPr>
    <w:rPr>
      <w:sz w:val="22"/>
      <w:szCs w:val="20"/>
      <w:lang w:eastAsia="en-US"/>
    </w:rPr>
  </w:style>
  <w:style w:type="character" w:styleId="ad">
    <w:name w:val="annotation reference"/>
    <w:basedOn w:val="a0"/>
    <w:uiPriority w:val="99"/>
    <w:unhideWhenUsed/>
    <w:qFormat/>
    <w:rsid w:val="00EB180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B180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B18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B180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B18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B180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B180A"/>
    <w:rPr>
      <w:rFonts w:ascii="Segoe UI" w:eastAsia="Times New Roman" w:hAnsi="Segoe UI" w:cs="Segoe UI"/>
      <w:sz w:val="18"/>
      <w:szCs w:val="18"/>
      <w:lang w:eastAsia="ru-RU"/>
    </w:rPr>
  </w:style>
  <w:style w:type="paragraph" w:styleId="30">
    <w:name w:val="List Bullet 3"/>
    <w:basedOn w:val="a"/>
    <w:autoRedefine/>
    <w:rsid w:val="007E45F1"/>
    <w:pPr>
      <w:numPr>
        <w:numId w:val="4"/>
      </w:numPr>
      <w:tabs>
        <w:tab w:val="clear" w:pos="1040"/>
        <w:tab w:val="num" w:pos="2913"/>
      </w:tabs>
      <w:spacing w:before="180" w:after="60"/>
      <w:ind w:left="2894"/>
    </w:pPr>
    <w:rPr>
      <w:sz w:val="22"/>
      <w:szCs w:val="20"/>
      <w:lang w:eastAsia="en-US"/>
    </w:rPr>
  </w:style>
  <w:style w:type="paragraph" w:styleId="af4">
    <w:name w:val="Body Text Indent"/>
    <w:basedOn w:val="a"/>
    <w:link w:val="af5"/>
    <w:uiPriority w:val="99"/>
    <w:semiHidden/>
    <w:unhideWhenUsed/>
    <w:rsid w:val="00C402B8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402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auseindent">
    <w:name w:val="clauseindent"/>
    <w:basedOn w:val="a"/>
    <w:uiPriority w:val="99"/>
    <w:rsid w:val="00194036"/>
    <w:pPr>
      <w:spacing w:before="120" w:after="120"/>
      <w:ind w:left="426"/>
      <w:jc w:val="both"/>
    </w:pPr>
    <w:rPr>
      <w:rFonts w:ascii="Garamond" w:hAnsi="Garamond" w:cs="Garamond"/>
      <w:i/>
      <w:iCs/>
      <w:sz w:val="22"/>
      <w:szCs w:val="22"/>
      <w:lang w:eastAsia="en-US"/>
    </w:rPr>
  </w:style>
  <w:style w:type="paragraph" w:styleId="32">
    <w:name w:val="Body Text 3"/>
    <w:basedOn w:val="a"/>
    <w:link w:val="33"/>
    <w:uiPriority w:val="99"/>
    <w:semiHidden/>
    <w:unhideWhenUsed/>
    <w:rsid w:val="0080387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803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List Number 2"/>
    <w:basedOn w:val="a"/>
    <w:rsid w:val="006B48CD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6D141E"/>
    <w:rPr>
      <w:rFonts w:ascii="Garamond" w:hAnsi="Garamond" w:cs="Garamond"/>
      <w:sz w:val="22"/>
      <w:szCs w:val="22"/>
    </w:rPr>
  </w:style>
  <w:style w:type="paragraph" w:styleId="22">
    <w:name w:val="Body Text 2"/>
    <w:basedOn w:val="a"/>
    <w:link w:val="23"/>
    <w:uiPriority w:val="99"/>
    <w:semiHidden/>
    <w:unhideWhenUsed/>
    <w:rsid w:val="00E3760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376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4.bin"/><Relationship Id="rId39" Type="http://schemas.openxmlformats.org/officeDocument/2006/relationships/oleObject" Target="embeddings/oleObject21.bin"/><Relationship Id="rId21" Type="http://schemas.openxmlformats.org/officeDocument/2006/relationships/oleObject" Target="embeddings/oleObject9.bin"/><Relationship Id="rId34" Type="http://schemas.openxmlformats.org/officeDocument/2006/relationships/image" Target="media/image11.wmf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image" Target="media/image9.w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image" Target="media/image10.wmf"/><Relationship Id="rId37" Type="http://schemas.openxmlformats.org/officeDocument/2006/relationships/oleObject" Target="embeddings/oleObject20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5.bin"/><Relationship Id="rId36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image" Target="media/image8.wmf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19.bin"/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8.bin"/><Relationship Id="rId38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2713B-4623-428C-A784-175B638B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Константинова Евгения Александровна</cp:lastModifiedBy>
  <cp:revision>8</cp:revision>
  <dcterms:created xsi:type="dcterms:W3CDTF">2024-10-17T12:05:00Z</dcterms:created>
  <dcterms:modified xsi:type="dcterms:W3CDTF">2024-10-22T12:35:00Z</dcterms:modified>
</cp:coreProperties>
</file>