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2DE95" w14:textId="77777777" w:rsidR="0033205E" w:rsidRDefault="0033205E" w:rsidP="0033205E">
      <w:pPr>
        <w:tabs>
          <w:tab w:val="left" w:pos="709"/>
        </w:tabs>
        <w:suppressAutoHyphens w:val="0"/>
        <w:spacing w:before="0"/>
        <w:jc w:val="right"/>
        <w:rPr>
          <w:rFonts w:eastAsia="Calibri" w:cs="Times New Roman"/>
          <w:b/>
          <w:sz w:val="28"/>
          <w:szCs w:val="28"/>
          <w:lang w:eastAsia="en-US"/>
        </w:rPr>
      </w:pPr>
    </w:p>
    <w:p w14:paraId="46E3B470" w14:textId="2049634A" w:rsidR="00880986" w:rsidRPr="0033205E" w:rsidRDefault="0033205E" w:rsidP="0033205E">
      <w:pPr>
        <w:tabs>
          <w:tab w:val="left" w:pos="709"/>
        </w:tabs>
        <w:suppressAutoHyphens w:val="0"/>
        <w:spacing w:before="0"/>
        <w:jc w:val="right"/>
        <w:rPr>
          <w:rFonts w:eastAsia="Calibri" w:cs="Times New Roman"/>
          <w:b/>
          <w:sz w:val="28"/>
          <w:szCs w:val="28"/>
          <w:lang w:eastAsia="en-US"/>
        </w:rPr>
      </w:pPr>
      <w:r w:rsidRPr="0033205E">
        <w:rPr>
          <w:rFonts w:eastAsia="Calibri" w:cs="Times New Roman"/>
          <w:b/>
          <w:sz w:val="28"/>
          <w:szCs w:val="28"/>
          <w:lang w:eastAsia="en-US"/>
        </w:rPr>
        <w:t>Приложение № 1.10.1</w:t>
      </w:r>
    </w:p>
    <w:p w14:paraId="288E063B" w14:textId="5691117A" w:rsidR="00880986" w:rsidRPr="00B31D77" w:rsidRDefault="00880986" w:rsidP="00880986">
      <w:pPr>
        <w:pBdr>
          <w:top w:val="single" w:sz="4" w:space="1" w:color="auto"/>
          <w:left w:val="single" w:sz="4" w:space="4" w:color="auto"/>
          <w:bottom w:val="single" w:sz="4" w:space="1" w:color="auto"/>
          <w:right w:val="single" w:sz="4" w:space="4" w:color="auto"/>
        </w:pBdr>
        <w:jc w:val="both"/>
        <w:rPr>
          <w:bCs/>
          <w:sz w:val="24"/>
          <w:szCs w:val="24"/>
        </w:rPr>
      </w:pPr>
      <w:r w:rsidRPr="00B31D77">
        <w:rPr>
          <w:b/>
          <w:bCs/>
          <w:sz w:val="24"/>
          <w:szCs w:val="24"/>
        </w:rPr>
        <w:t xml:space="preserve">Дата вступления в силу: </w:t>
      </w:r>
      <w:r w:rsidRPr="00B31D77">
        <w:rPr>
          <w:bCs/>
          <w:sz w:val="24"/>
          <w:szCs w:val="24"/>
        </w:rPr>
        <w:t>1 ноября 2024 г</w:t>
      </w:r>
      <w:r w:rsidR="0033205E" w:rsidRPr="00B31D77">
        <w:rPr>
          <w:bCs/>
          <w:sz w:val="24"/>
          <w:szCs w:val="24"/>
        </w:rPr>
        <w:t>ода</w:t>
      </w:r>
      <w:r w:rsidRPr="00B31D77">
        <w:rPr>
          <w:bCs/>
          <w:sz w:val="24"/>
          <w:szCs w:val="24"/>
        </w:rPr>
        <w:t>.</w:t>
      </w:r>
    </w:p>
    <w:p w14:paraId="6B91BB3B" w14:textId="77777777" w:rsidR="00880986" w:rsidRDefault="00880986" w:rsidP="00880986">
      <w:pPr>
        <w:widowControl w:val="0"/>
        <w:spacing w:after="120" w:line="288" w:lineRule="auto"/>
        <w:jc w:val="right"/>
        <w:rPr>
          <w:b/>
        </w:rPr>
      </w:pPr>
    </w:p>
    <w:p w14:paraId="3E209380" w14:textId="77777777" w:rsidR="00A1681E" w:rsidRPr="00770059" w:rsidRDefault="00A1681E" w:rsidP="00A1681E">
      <w:pPr>
        <w:widowControl w:val="0"/>
        <w:tabs>
          <w:tab w:val="left" w:pos="1276"/>
          <w:tab w:val="left" w:pos="1843"/>
        </w:tabs>
        <w:autoSpaceDE w:val="0"/>
        <w:autoSpaceDN w:val="0"/>
        <w:adjustRightInd w:val="0"/>
        <w:ind w:left="1276"/>
        <w:jc w:val="right"/>
        <w:rPr>
          <w:b/>
          <w:bCs/>
        </w:rPr>
      </w:pPr>
      <w:r w:rsidRPr="00770059">
        <w:rPr>
          <w:b/>
          <w:bCs/>
        </w:rPr>
        <w:t>СТАНДАРТНАЯ ФОРМА ДОГОВОРА</w:t>
      </w:r>
    </w:p>
    <w:p w14:paraId="02C77650" w14:textId="77777777" w:rsidR="00A1681E" w:rsidRPr="00770059" w:rsidRDefault="00A1681E" w:rsidP="00A1681E">
      <w:pPr>
        <w:widowControl w:val="0"/>
        <w:tabs>
          <w:tab w:val="left" w:pos="1276"/>
          <w:tab w:val="left" w:pos="1843"/>
        </w:tabs>
        <w:autoSpaceDE w:val="0"/>
        <w:autoSpaceDN w:val="0"/>
        <w:adjustRightInd w:val="0"/>
        <w:spacing w:after="120"/>
        <w:ind w:left="1276"/>
        <w:jc w:val="right"/>
        <w:rPr>
          <w:b/>
          <w:bCs/>
        </w:rPr>
      </w:pPr>
      <w:r w:rsidRPr="00770059">
        <w:rPr>
          <w:b/>
          <w:bCs/>
        </w:rPr>
        <w:t>УТВЕРЖДЕНА</w:t>
      </w:r>
    </w:p>
    <w:p w14:paraId="39128240" w14:textId="77777777" w:rsidR="00A1681E" w:rsidRPr="00263A7A" w:rsidRDefault="00A1681E" w:rsidP="00A1681E">
      <w:pPr>
        <w:widowControl w:val="0"/>
        <w:tabs>
          <w:tab w:val="left" w:pos="1276"/>
          <w:tab w:val="left" w:pos="1843"/>
        </w:tabs>
        <w:autoSpaceDE w:val="0"/>
        <w:autoSpaceDN w:val="0"/>
        <w:adjustRightInd w:val="0"/>
        <w:spacing w:before="0"/>
        <w:ind w:left="1276"/>
        <w:jc w:val="right"/>
        <w:rPr>
          <w:i/>
          <w:iCs/>
          <w:sz w:val="20"/>
          <w:szCs w:val="20"/>
        </w:rPr>
      </w:pPr>
      <w:r w:rsidRPr="00263A7A">
        <w:rPr>
          <w:i/>
          <w:iCs/>
          <w:sz w:val="20"/>
          <w:szCs w:val="20"/>
        </w:rPr>
        <w:t xml:space="preserve">Решением Наблюдательного совета </w:t>
      </w:r>
      <w:r>
        <w:rPr>
          <w:i/>
          <w:iCs/>
          <w:sz w:val="20"/>
          <w:szCs w:val="20"/>
        </w:rPr>
        <w:t>Ассоциации «</w:t>
      </w:r>
      <w:r w:rsidRPr="00263A7A">
        <w:rPr>
          <w:i/>
          <w:iCs/>
          <w:sz w:val="20"/>
          <w:szCs w:val="20"/>
        </w:rPr>
        <w:t>НП Совет рынка»</w:t>
      </w:r>
    </w:p>
    <w:p w14:paraId="161BAB05" w14:textId="77777777" w:rsidR="00A1681E" w:rsidRPr="00263A7A" w:rsidRDefault="00A1681E" w:rsidP="00A1681E">
      <w:pPr>
        <w:widowControl w:val="0"/>
        <w:tabs>
          <w:tab w:val="left" w:pos="1276"/>
          <w:tab w:val="left" w:pos="1843"/>
        </w:tabs>
        <w:autoSpaceDE w:val="0"/>
        <w:autoSpaceDN w:val="0"/>
        <w:adjustRightInd w:val="0"/>
        <w:spacing w:before="0"/>
        <w:ind w:left="1276"/>
        <w:jc w:val="right"/>
        <w:rPr>
          <w:i/>
          <w:iCs/>
          <w:sz w:val="20"/>
          <w:szCs w:val="20"/>
        </w:rPr>
      </w:pPr>
      <w:r w:rsidRPr="00263A7A">
        <w:rPr>
          <w:i/>
          <w:iCs/>
          <w:sz w:val="20"/>
          <w:szCs w:val="20"/>
        </w:rPr>
        <w:t xml:space="preserve">Протокол заседания Наблюдательного </w:t>
      </w:r>
    </w:p>
    <w:p w14:paraId="3E7C9A29" w14:textId="77777777" w:rsidR="00A1681E" w:rsidRPr="00263A7A" w:rsidRDefault="00A1681E" w:rsidP="00A1681E">
      <w:pPr>
        <w:widowControl w:val="0"/>
        <w:tabs>
          <w:tab w:val="left" w:pos="1276"/>
          <w:tab w:val="left" w:pos="1843"/>
        </w:tabs>
        <w:autoSpaceDE w:val="0"/>
        <w:autoSpaceDN w:val="0"/>
        <w:adjustRightInd w:val="0"/>
        <w:spacing w:before="0"/>
        <w:ind w:left="1276"/>
        <w:jc w:val="right"/>
        <w:rPr>
          <w:i/>
          <w:iCs/>
          <w:sz w:val="20"/>
          <w:szCs w:val="20"/>
        </w:rPr>
      </w:pPr>
      <w:r w:rsidRPr="00263A7A">
        <w:rPr>
          <w:i/>
          <w:iCs/>
          <w:sz w:val="20"/>
          <w:szCs w:val="20"/>
        </w:rPr>
        <w:t xml:space="preserve">совета </w:t>
      </w:r>
      <w:r>
        <w:rPr>
          <w:i/>
          <w:iCs/>
          <w:sz w:val="20"/>
          <w:szCs w:val="20"/>
        </w:rPr>
        <w:t>Ассоциации «</w:t>
      </w:r>
      <w:r w:rsidRPr="00263A7A">
        <w:rPr>
          <w:i/>
          <w:iCs/>
          <w:sz w:val="20"/>
          <w:szCs w:val="20"/>
        </w:rPr>
        <w:t>НП Совет рынка»</w:t>
      </w:r>
    </w:p>
    <w:p w14:paraId="4D32EB57" w14:textId="022C5302" w:rsidR="00A1681E" w:rsidRPr="00026E93" w:rsidRDefault="00A1681E" w:rsidP="00A1681E">
      <w:pPr>
        <w:widowControl w:val="0"/>
        <w:tabs>
          <w:tab w:val="left" w:pos="1276"/>
          <w:tab w:val="left" w:pos="1843"/>
        </w:tabs>
        <w:autoSpaceDE w:val="0"/>
        <w:autoSpaceDN w:val="0"/>
        <w:adjustRightInd w:val="0"/>
        <w:spacing w:before="0"/>
        <w:ind w:left="1276"/>
        <w:jc w:val="right"/>
        <w:rPr>
          <w:i/>
          <w:sz w:val="20"/>
          <w:szCs w:val="20"/>
        </w:rPr>
      </w:pPr>
      <w:r w:rsidRPr="00CF0501">
        <w:rPr>
          <w:i/>
          <w:sz w:val="20"/>
          <w:szCs w:val="20"/>
        </w:rPr>
        <w:t>№</w:t>
      </w:r>
      <w:r w:rsidR="00DB5A10">
        <w:rPr>
          <w:i/>
          <w:sz w:val="20"/>
          <w:szCs w:val="20"/>
        </w:rPr>
        <w:t xml:space="preserve"> ____</w:t>
      </w:r>
      <w:r>
        <w:rPr>
          <w:i/>
          <w:sz w:val="20"/>
          <w:szCs w:val="20"/>
        </w:rPr>
        <w:t xml:space="preserve"> от </w:t>
      </w:r>
      <w:r w:rsidR="00DB5A10">
        <w:rPr>
          <w:i/>
          <w:sz w:val="20"/>
          <w:szCs w:val="20"/>
        </w:rPr>
        <w:t>_______</w:t>
      </w:r>
      <w:r w:rsidRPr="00CF0501">
        <w:rPr>
          <w:i/>
          <w:sz w:val="20"/>
          <w:szCs w:val="20"/>
        </w:rPr>
        <w:t xml:space="preserve"> г.</w:t>
      </w:r>
    </w:p>
    <w:p w14:paraId="357B3748" w14:textId="77777777" w:rsidR="00A1681E" w:rsidRPr="00026E93" w:rsidRDefault="00A1681E" w:rsidP="00A1681E">
      <w:pPr>
        <w:widowControl w:val="0"/>
        <w:tabs>
          <w:tab w:val="left" w:pos="1276"/>
          <w:tab w:val="left" w:pos="1843"/>
        </w:tabs>
        <w:autoSpaceDE w:val="0"/>
        <w:autoSpaceDN w:val="0"/>
        <w:adjustRightInd w:val="0"/>
        <w:spacing w:before="0"/>
        <w:ind w:left="1276"/>
        <w:jc w:val="right"/>
        <w:rPr>
          <w:i/>
          <w:sz w:val="20"/>
          <w:szCs w:val="20"/>
        </w:rPr>
      </w:pPr>
    </w:p>
    <w:p w14:paraId="5304945B" w14:textId="77777777" w:rsidR="00A1681E" w:rsidRPr="001641C5" w:rsidRDefault="00A1681E" w:rsidP="00A1681E">
      <w:pPr>
        <w:pStyle w:val="a8"/>
        <w:spacing w:before="0"/>
        <w:jc w:val="right"/>
        <w:rPr>
          <w:b w:val="0"/>
          <w:i/>
          <w:sz w:val="20"/>
          <w:szCs w:val="20"/>
        </w:rPr>
      </w:pPr>
    </w:p>
    <w:p w14:paraId="71BC40AC" w14:textId="77777777" w:rsidR="00A1681E" w:rsidRPr="00770059" w:rsidRDefault="00A1681E" w:rsidP="00A1681E">
      <w:pPr>
        <w:tabs>
          <w:tab w:val="left" w:pos="1276"/>
          <w:tab w:val="left" w:pos="1843"/>
        </w:tabs>
        <w:autoSpaceDE w:val="0"/>
        <w:autoSpaceDN w:val="0"/>
        <w:adjustRightInd w:val="0"/>
        <w:ind w:left="1276"/>
        <w:jc w:val="right"/>
        <w:rPr>
          <w:b/>
          <w:bCs/>
        </w:rPr>
      </w:pPr>
      <w:r w:rsidRPr="00770059">
        <w:rPr>
          <w:b/>
          <w:bCs/>
        </w:rPr>
        <w:t xml:space="preserve">Приложение № Д </w:t>
      </w:r>
      <w:r>
        <w:rPr>
          <w:b/>
          <w:bCs/>
        </w:rPr>
        <w:t>6.</w:t>
      </w:r>
      <w:r w:rsidR="00DB5A10">
        <w:rPr>
          <w:b/>
          <w:bCs/>
        </w:rPr>
        <w:t>13</w:t>
      </w:r>
      <w:r>
        <w:rPr>
          <w:b/>
          <w:bCs/>
        </w:rPr>
        <w:t>.1</w:t>
      </w:r>
    </w:p>
    <w:p w14:paraId="5E09E99D" w14:textId="77777777" w:rsidR="00A1681E" w:rsidRPr="00770059" w:rsidRDefault="00A1681E" w:rsidP="00A1681E">
      <w:pPr>
        <w:tabs>
          <w:tab w:val="left" w:pos="1276"/>
          <w:tab w:val="left" w:pos="1843"/>
        </w:tabs>
        <w:autoSpaceDE w:val="0"/>
        <w:autoSpaceDN w:val="0"/>
        <w:adjustRightInd w:val="0"/>
        <w:ind w:left="1276"/>
        <w:jc w:val="right"/>
      </w:pPr>
      <w:r w:rsidRPr="00770059">
        <w:t xml:space="preserve">к Договору о присоединении к торговой </w:t>
      </w:r>
    </w:p>
    <w:p w14:paraId="3D5411DD" w14:textId="77777777" w:rsidR="00A1681E" w:rsidRPr="00770059" w:rsidRDefault="00A1681E" w:rsidP="00A1681E">
      <w:pPr>
        <w:tabs>
          <w:tab w:val="left" w:pos="1276"/>
          <w:tab w:val="left" w:pos="1843"/>
        </w:tabs>
        <w:autoSpaceDE w:val="0"/>
        <w:autoSpaceDN w:val="0"/>
        <w:adjustRightInd w:val="0"/>
        <w:ind w:left="1276"/>
        <w:jc w:val="right"/>
      </w:pPr>
      <w:r w:rsidRPr="00770059">
        <w:t xml:space="preserve">системе оптового рынка </w:t>
      </w:r>
    </w:p>
    <w:p w14:paraId="5D3E1F5A" w14:textId="77777777" w:rsidR="00A1681E" w:rsidRDefault="00A1681E" w:rsidP="00A1681E">
      <w:pPr>
        <w:spacing w:after="120" w:line="288" w:lineRule="auto"/>
        <w:jc w:val="center"/>
        <w:rPr>
          <w:b/>
        </w:rPr>
      </w:pPr>
    </w:p>
    <w:p w14:paraId="3345B842" w14:textId="77777777" w:rsidR="00A1681E" w:rsidRDefault="00A1681E" w:rsidP="00A1681E">
      <w:pPr>
        <w:spacing w:after="120" w:line="288" w:lineRule="auto"/>
        <w:jc w:val="center"/>
        <w:rPr>
          <w:b/>
        </w:rPr>
      </w:pPr>
    </w:p>
    <w:p w14:paraId="14BA796C" w14:textId="77777777" w:rsidR="00A1681E" w:rsidRPr="00D50237" w:rsidRDefault="00A1681E" w:rsidP="00A1681E">
      <w:pPr>
        <w:spacing w:after="120" w:line="288" w:lineRule="auto"/>
        <w:jc w:val="center"/>
        <w:rPr>
          <w:b/>
        </w:rPr>
      </w:pPr>
      <w:r w:rsidRPr="00D50237">
        <w:rPr>
          <w:b/>
        </w:rPr>
        <w:t xml:space="preserve">ДОГОВОР ПОРУЧИТЕЛЬСТВА </w:t>
      </w:r>
    </w:p>
    <w:p w14:paraId="50D0D59D" w14:textId="77777777" w:rsidR="00A1681E" w:rsidRPr="00D50237" w:rsidRDefault="00A1681E" w:rsidP="00A1681E">
      <w:pPr>
        <w:spacing w:after="120" w:line="288" w:lineRule="auto"/>
        <w:jc w:val="center"/>
        <w:rPr>
          <w:b/>
        </w:rPr>
      </w:pPr>
      <w:r w:rsidRPr="00D50237">
        <w:rPr>
          <w:b/>
        </w:rPr>
        <w:t>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769FB668" w14:textId="77777777" w:rsidR="00A1681E" w:rsidRPr="00D50237" w:rsidRDefault="00A1681E" w:rsidP="00A1681E">
      <w:pPr>
        <w:spacing w:after="120" w:line="288" w:lineRule="auto"/>
        <w:jc w:val="center"/>
        <w:rPr>
          <w:b/>
        </w:rPr>
      </w:pPr>
      <w:r w:rsidRPr="00D50237">
        <w:rPr>
          <w:b/>
        </w:rPr>
        <w:t>№ ____</w:t>
      </w:r>
    </w:p>
    <w:p w14:paraId="6825B3D5" w14:textId="77777777" w:rsidR="00A1681E" w:rsidRPr="00D50237" w:rsidRDefault="00A1681E" w:rsidP="00A1681E">
      <w:pPr>
        <w:spacing w:after="120" w:line="288" w:lineRule="auto"/>
        <w:jc w:val="both"/>
      </w:pPr>
    </w:p>
    <w:p w14:paraId="0970DC8E" w14:textId="77777777" w:rsidR="00A1681E" w:rsidRPr="00D50237" w:rsidRDefault="00A1681E" w:rsidP="00A1681E">
      <w:pPr>
        <w:spacing w:after="120" w:line="288" w:lineRule="auto"/>
      </w:pPr>
      <w:r w:rsidRPr="00D50237">
        <w:t xml:space="preserve">г. Москва                                                                                                                     </w:t>
      </w:r>
    </w:p>
    <w:p w14:paraId="49C9F5D3" w14:textId="77777777" w:rsidR="00A1681E" w:rsidRPr="00D50237" w:rsidRDefault="00A1681E" w:rsidP="00A1681E">
      <w:pPr>
        <w:spacing w:after="120" w:line="288" w:lineRule="auto"/>
        <w:ind w:left="720" w:right="-27"/>
        <w:jc w:val="both"/>
      </w:pPr>
      <w:r w:rsidRPr="00D50237">
        <w:t>Настоящий Договор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Договор), заключен между:</w:t>
      </w:r>
    </w:p>
    <w:p w14:paraId="63E86901" w14:textId="7E967DCA" w:rsidR="00A1681E" w:rsidRPr="00D50237" w:rsidRDefault="00A1681E" w:rsidP="00A1681E">
      <w:pPr>
        <w:numPr>
          <w:ilvl w:val="0"/>
          <w:numId w:val="2"/>
        </w:numPr>
        <w:suppressAutoHyphens w:val="0"/>
        <w:spacing w:after="120" w:line="288" w:lineRule="auto"/>
        <w:ind w:left="720" w:right="-27"/>
        <w:jc w:val="both"/>
      </w:pPr>
      <w:r w:rsidRPr="00D50237">
        <w:t xml:space="preserve">______________________________________________________________________________, именуемым в настоящем Договоре «Поручитель», именуемым в Договоре о присоединении к торговой системе оптового рынка от «_____» _____________ 20 ____ г. </w:t>
      </w:r>
      <w:r w:rsidR="00B31D77" w:rsidRPr="00D50237">
        <w:t xml:space="preserve">№ _______________ </w:t>
      </w:r>
      <w:r w:rsidRPr="00D50237">
        <w:t xml:space="preserve">и регламентах оптового рынка, являющихся приложением к указанному Договору о присоединении, </w:t>
      </w:r>
      <w:r w:rsidR="00B31D77" w:rsidRPr="00D50237">
        <w:t>«у</w:t>
      </w:r>
      <w:r w:rsidRPr="00D50237">
        <w:t>частник оптового рынка</w:t>
      </w:r>
      <w:r w:rsidR="00B31D77" w:rsidRPr="00D50237">
        <w:t>»</w:t>
      </w:r>
      <w:r w:rsidRPr="00D50237">
        <w:t xml:space="preserve">, от имени которого на основании договора коммерческого представительства от </w:t>
      </w:r>
      <w:r w:rsidRPr="00D50237">
        <w:rPr>
          <w:color w:val="000000"/>
        </w:rPr>
        <w:t>«_____» _____________ 20 ____ г.</w:t>
      </w:r>
      <w:r w:rsidRPr="00D50237">
        <w:t xml:space="preserve"> </w:t>
      </w:r>
      <w:r w:rsidR="00B31D77" w:rsidRPr="00D50237">
        <w:t xml:space="preserve">№ __________ </w:t>
      </w:r>
      <w:r w:rsidRPr="00D50237">
        <w:t xml:space="preserve">действует </w:t>
      </w:r>
      <w:r w:rsidR="00B31D77" w:rsidRPr="00D50237">
        <w:t>к</w:t>
      </w:r>
      <w:r w:rsidRPr="00D50237">
        <w:t xml:space="preserve">оммерческий представитель – Акционерное общество «Центр финансовых расчетов», именуемое в указанном Договоре о присоединении «АО «ЦФР» и (или) «ЦФР», </w:t>
      </w:r>
    </w:p>
    <w:p w14:paraId="661144E5" w14:textId="324DC39E" w:rsidR="00A1681E" w:rsidRPr="00D50237" w:rsidRDefault="00A1681E" w:rsidP="00A1681E">
      <w:pPr>
        <w:numPr>
          <w:ilvl w:val="0"/>
          <w:numId w:val="2"/>
        </w:numPr>
        <w:suppressAutoHyphens w:val="0"/>
        <w:spacing w:after="120" w:line="288" w:lineRule="auto"/>
        <w:ind w:left="720" w:right="-27"/>
        <w:jc w:val="both"/>
      </w:pPr>
      <w:r w:rsidRPr="00D50237">
        <w:lastRenderedPageBreak/>
        <w:t xml:space="preserve">______________________________________________________________________________, именуемым в настоящем Договоре «Кредитор», именуемым в Договоре о присоединении к торговой системе оптового рынка от «_____» _____________ 20 ____ г. </w:t>
      </w:r>
      <w:r w:rsidR="00B31D77" w:rsidRPr="00D50237">
        <w:t xml:space="preserve">№ _______________ </w:t>
      </w:r>
      <w:r w:rsidRPr="00D50237">
        <w:t xml:space="preserve">и регламентах оптового рынка, являющихся приложением к указанному Договору о присоединении, </w:t>
      </w:r>
      <w:r w:rsidR="00B31D77" w:rsidRPr="00D50237">
        <w:t>«у</w:t>
      </w:r>
      <w:r w:rsidRPr="00D50237">
        <w:t>частник оптового рынка</w:t>
      </w:r>
      <w:r w:rsidR="00B31D77" w:rsidRPr="00D50237">
        <w:t>»</w:t>
      </w:r>
      <w:r w:rsidRPr="00D50237">
        <w:t xml:space="preserve">, от имени которого на основании договора коммерческого представительства от </w:t>
      </w:r>
      <w:r w:rsidRPr="00D50237">
        <w:rPr>
          <w:color w:val="000000"/>
        </w:rPr>
        <w:t>«_____» _____________ 20 ____ г.</w:t>
      </w:r>
      <w:r w:rsidRPr="00D50237">
        <w:t xml:space="preserve"> </w:t>
      </w:r>
      <w:r w:rsidR="00B31D77" w:rsidRPr="00D50237">
        <w:t xml:space="preserve">№ __________ </w:t>
      </w:r>
      <w:r w:rsidRPr="00D50237">
        <w:t xml:space="preserve">действует </w:t>
      </w:r>
      <w:r w:rsidR="00B31D77" w:rsidRPr="00D50237">
        <w:t>к</w:t>
      </w:r>
      <w:r w:rsidRPr="00D50237">
        <w:t>оммерческий представитель – Акционерное общество «Центр финансовых расчетов», именуемое в указанном Договоре о присоединении «АО «ЦФР» и (или) «ЦФР», и</w:t>
      </w:r>
    </w:p>
    <w:p w14:paraId="3F8CF6DC" w14:textId="77777777" w:rsidR="00A1681E" w:rsidRPr="00D50237" w:rsidRDefault="00A1681E" w:rsidP="00A1681E">
      <w:pPr>
        <w:spacing w:after="120" w:line="288" w:lineRule="auto"/>
        <w:ind w:left="720" w:right="-27" w:hanging="360"/>
        <w:jc w:val="both"/>
      </w:pPr>
      <w:r w:rsidRPr="00D50237">
        <w:t xml:space="preserve">3. Акционерным обществом «Администратор торговой системы оптового рынка электроэнергии», именуемым в дальнейшем «АО «АТС», </w:t>
      </w:r>
    </w:p>
    <w:p w14:paraId="1DE71E74" w14:textId="77777777" w:rsidR="00A1681E" w:rsidRPr="00D50237" w:rsidRDefault="00A1681E" w:rsidP="00A1681E">
      <w:pPr>
        <w:spacing w:after="120" w:line="288" w:lineRule="auto"/>
        <w:ind w:left="720" w:right="-27"/>
        <w:jc w:val="both"/>
      </w:pPr>
      <w:r w:rsidRPr="00D50237">
        <w:t>далее совместно именуемыми «Стороны» и каждое по отдельности «Сторона».</w:t>
      </w:r>
    </w:p>
    <w:p w14:paraId="46881B63" w14:textId="77777777" w:rsidR="00A1681E" w:rsidRPr="00D50237" w:rsidRDefault="00A1681E" w:rsidP="00A1681E">
      <w:pPr>
        <w:spacing w:after="120" w:line="288" w:lineRule="auto"/>
        <w:ind w:left="720" w:right="-27"/>
        <w:jc w:val="center"/>
        <w:rPr>
          <w:b/>
        </w:rPr>
      </w:pPr>
      <w:r w:rsidRPr="00D50237">
        <w:rPr>
          <w:b/>
        </w:rPr>
        <w:t>ПРЕАМБУЛА</w:t>
      </w:r>
    </w:p>
    <w:p w14:paraId="6E8F773C" w14:textId="64481A91" w:rsidR="00A1681E" w:rsidRPr="00D50237" w:rsidRDefault="00A1681E" w:rsidP="00A1681E">
      <w:pPr>
        <w:spacing w:after="120" w:line="288" w:lineRule="auto"/>
        <w:ind w:left="720" w:right="-27"/>
        <w:jc w:val="both"/>
      </w:pPr>
      <w:r w:rsidRPr="00D50237">
        <w:t xml:space="preserve">ПРИНИМАЯ ВО ВНИМАНИЕ, ЧТО настоящий Договор устанавливает в форме поручительства обеспечение исполнения Поручителем обязательств по </w:t>
      </w:r>
      <w:r w:rsidR="00B31D77" w:rsidRPr="00D50237">
        <w:t>у</w:t>
      </w:r>
      <w:r w:rsidRPr="00D50237">
        <w:t>плате неустоек (штрафов, пени) _________________________________________________ (</w:t>
      </w:r>
      <w:r w:rsidRPr="00D50237">
        <w:rPr>
          <w:i/>
        </w:rPr>
        <w:t>наименование участника оптового рынка</w:t>
      </w:r>
      <w:r w:rsidRPr="00D50237">
        <w:t>) (далее – Должник), являющегося продавцом мощности по 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от _______________________ № ____________, заключенному с Кредитором;</w:t>
      </w:r>
    </w:p>
    <w:p w14:paraId="10DE2393" w14:textId="19FE468C" w:rsidR="00A1681E" w:rsidRPr="00D50237" w:rsidRDefault="00A1681E" w:rsidP="00A1681E">
      <w:pPr>
        <w:spacing w:after="120" w:line="288" w:lineRule="auto"/>
        <w:ind w:left="720" w:right="-27"/>
        <w:jc w:val="both"/>
      </w:pPr>
      <w:r w:rsidRPr="00D50237">
        <w:t xml:space="preserve">ПРИНИМАЯ ВО ВНИМАНИЕ, ЧТО АО «АТС» в соответствии с пунктом 7 статьи 33 Федерального закона Российской Федерации от 26 марта 2003 г. № 35-ФЗ «Об электроэнергетике» (далее – ФЗ «Об электроэнергетике») и Договором о присоединении к торговой системе оптового рынка (далее – Договор о присоединении) является организацией коммерческой инфраструктуры, оказывает субъектам оптового рынка, участникам обращения электрической энергии и мощности на оптовом рынке услугу по организации торговли на оптовом рынке, связанную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а также осуществляет иные функции </w:t>
      </w:r>
      <w:r w:rsidR="00B31D77" w:rsidRPr="00D50237">
        <w:t>к</w:t>
      </w:r>
      <w:r w:rsidRPr="00D50237">
        <w:t>оммерческого оператора оптового рынка в соответствии с Правилами оптового рынка электрической энергии и мощности, утвержденными постановлением Правительства Российской Федерации от 27 декабря 2010 г. № 1172 (далее – Правила оптового рынка), и Договором о присоединении, в том числе наделено полномочиями определять объем и стоимость мощности, покупаемой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35076BBC" w14:textId="77777777" w:rsidR="00A1681E" w:rsidRPr="00D50237" w:rsidRDefault="00A1681E" w:rsidP="00A1681E">
      <w:pPr>
        <w:spacing w:after="120" w:line="288" w:lineRule="auto"/>
        <w:ind w:left="720" w:right="-27"/>
        <w:jc w:val="both"/>
      </w:pPr>
      <w:r w:rsidRPr="00D50237">
        <w:rPr>
          <w:color w:val="000000"/>
        </w:rPr>
        <w:t>ПРИНИМАЯ ВО ВНИМАНИЕ, ЧТО датой заключения настоящего Договора считается дата проставления последней электронной подписи,</w:t>
      </w:r>
    </w:p>
    <w:p w14:paraId="78BCE103" w14:textId="74D1B689" w:rsidR="00A1681E" w:rsidRPr="00D50237" w:rsidRDefault="00A1681E" w:rsidP="00A1681E">
      <w:pPr>
        <w:spacing w:after="120" w:line="288" w:lineRule="auto"/>
        <w:ind w:left="720" w:right="-27"/>
        <w:jc w:val="both"/>
      </w:pPr>
      <w:r w:rsidRPr="00D50237">
        <w:t xml:space="preserve">СТОРОНЫ </w:t>
      </w:r>
      <w:r w:rsidR="00B31D77" w:rsidRPr="00D50237">
        <w:t>ДОГОВОРИЛИСЬ</w:t>
      </w:r>
      <w:r w:rsidRPr="00D50237">
        <w:t xml:space="preserve"> О НИЖЕСЛЕДУЮЩЕМ:</w:t>
      </w:r>
    </w:p>
    <w:p w14:paraId="01112881"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ОБЩИЕ ПОЛОЖЕНИЯ</w:t>
      </w:r>
    </w:p>
    <w:p w14:paraId="0A4B8C72"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При исполнении настоящего Договора Стороны руководствуются Договорами о присоединении от _________________ № ________________ и от _________________ № ________________ (далее – Договоры о присоединении) и регламентами оптового рынка, являющимися приложением к Договорам о присоединении.</w:t>
      </w:r>
    </w:p>
    <w:p w14:paraId="0F57B202"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lastRenderedPageBreak/>
        <w:t>Регламенты оптового рынка, являющиеся приложением к Договорам о присоединении, в дальнейшем будут упоминаться в тексте настоящего Договора либо как «регламенты оптового рынка», либо в ссылке на соответствующее название одного из регламентов оптового рынка, определенное решением Наблюдательного совета Ассоциации «НП Совет рынка» (далее – Совет рынка) или решением уполномоченного Правительством Российской Федерации федерального органа исполнительной власти.</w:t>
      </w:r>
    </w:p>
    <w:p w14:paraId="3254A55F"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Положения, предусмотренные Договорами о присоединении и регламентами оптового рынка, являются обязательными для Сторон при осуществлении прав и исполнении обязанностей по настоящему Договору.</w:t>
      </w:r>
    </w:p>
    <w:p w14:paraId="7458F6E7"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Для целей настоящего Договора используются понятия, соответствующие определениям, установленным Договорами о присоединении, регламентами оптового рынка.</w:t>
      </w:r>
    </w:p>
    <w:p w14:paraId="1404E5C2"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Заключая настоящий Договор, Поручитель подтверждает, что им соблюдены все правила и процедуры, установленные законодательством Российской Федерации и его учредительными документами, а также иными внутренними корпоративными актами, регламентами и положениями в качестве обязательных предварительных условий заключения и исполнения настоящего Договора.</w:t>
      </w:r>
    </w:p>
    <w:p w14:paraId="1AEEF9A7"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В случае нарушения Поручителем вышеуказанного обязательства Поручитель несет ответственность перед Кредитором за убытки, вызванные неисполнением указанного выше обязательства.</w:t>
      </w:r>
    </w:p>
    <w:p w14:paraId="5CEC3BA8" w14:textId="7D15765C"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По требованию Кредитора Поручитель обязан пред</w:t>
      </w:r>
      <w:r w:rsidR="00B31D77" w:rsidRPr="00D50237">
        <w:rPr>
          <w:rFonts w:ascii="Garamond" w:hAnsi="Garamond"/>
          <w:sz w:val="22"/>
          <w:szCs w:val="22"/>
        </w:rPr>
        <w:t>о</w:t>
      </w:r>
      <w:r w:rsidRPr="00D50237">
        <w:rPr>
          <w:rFonts w:ascii="Garamond" w:hAnsi="Garamond"/>
          <w:sz w:val="22"/>
          <w:szCs w:val="22"/>
        </w:rPr>
        <w:t>ставить Кредитору:</w:t>
      </w:r>
    </w:p>
    <w:p w14:paraId="6DB97A83" w14:textId="77777777" w:rsidR="00A1681E" w:rsidRPr="00D50237" w:rsidRDefault="00A1681E" w:rsidP="00A1681E">
      <w:pPr>
        <w:pStyle w:val="aa"/>
        <w:spacing w:before="120" w:after="120" w:line="288" w:lineRule="auto"/>
        <w:ind w:left="1440" w:right="-27" w:hanging="720"/>
        <w:jc w:val="both"/>
        <w:rPr>
          <w:rFonts w:ascii="Garamond" w:hAnsi="Garamond"/>
          <w:sz w:val="22"/>
          <w:szCs w:val="22"/>
        </w:rPr>
      </w:pPr>
      <w:r w:rsidRPr="00D50237">
        <w:rPr>
          <w:rFonts w:ascii="Garamond" w:hAnsi="Garamond"/>
          <w:sz w:val="22"/>
          <w:szCs w:val="22"/>
        </w:rPr>
        <w:t>а)</w:t>
      </w:r>
      <w:r w:rsidRPr="00D50237">
        <w:rPr>
          <w:rFonts w:ascii="Garamond" w:hAnsi="Garamond"/>
          <w:sz w:val="22"/>
          <w:szCs w:val="22"/>
        </w:rPr>
        <w:tab/>
        <w:t>копию решения уполномоченного органа управления об одобрении заключения настоящего Договора, заверенную его уполномоченным представителем, или</w:t>
      </w:r>
    </w:p>
    <w:p w14:paraId="7F9DF5A9" w14:textId="77777777" w:rsidR="00A1681E" w:rsidRPr="00D50237" w:rsidRDefault="00A1681E" w:rsidP="00A1681E">
      <w:pPr>
        <w:pStyle w:val="aa"/>
        <w:spacing w:before="120" w:after="120" w:line="288" w:lineRule="auto"/>
        <w:ind w:left="1440" w:right="-27" w:hanging="720"/>
        <w:jc w:val="both"/>
        <w:rPr>
          <w:rFonts w:ascii="Garamond" w:hAnsi="Garamond"/>
          <w:sz w:val="22"/>
          <w:szCs w:val="22"/>
        </w:rPr>
      </w:pPr>
      <w:r w:rsidRPr="00D50237">
        <w:rPr>
          <w:rFonts w:ascii="Garamond" w:hAnsi="Garamond"/>
          <w:sz w:val="22"/>
          <w:szCs w:val="22"/>
        </w:rPr>
        <w:t>б)</w:t>
      </w:r>
      <w:r w:rsidRPr="00D50237">
        <w:rPr>
          <w:rFonts w:ascii="Garamond" w:hAnsi="Garamond"/>
          <w:sz w:val="22"/>
          <w:szCs w:val="22"/>
        </w:rPr>
        <w:tab/>
        <w:t>подписанное единоличным исполнительным органом или руководителем коллегиального исполнительного органа мотивированное заявление Поручителя об отсутствии необходимости одобрения заключения Договора (в случае если заключение настоящего Договора в соответствии с законодательством Российской Федерации, учредительными документами или иными внутренними корпоративными актами Поручителя и Должника не подлежит одобрению).</w:t>
      </w:r>
    </w:p>
    <w:p w14:paraId="69E6612F"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При этом Поручитель подтверждает, что при заключении настоящего Договора исходил из того, что в случае наличия у него сомнений в определении необходимости или отсутствия необходимости одобрения его уполномоченным органом управления заключения настоящего Договора (в частности, в качестве сделки, в совершении которой имеется заинтересованность), такое одобрение является необходимым, и Поручитель должен получить одобрение заключения настоящего Договора в соответствии с правилами и процедурами, предусмотренными законодательством Российской Федерации, его уставом и иными внутренними корпоративными актами.</w:t>
      </w:r>
    </w:p>
    <w:p w14:paraId="462B2D9A" w14:textId="77777777" w:rsidR="00A1681E" w:rsidRPr="00D50237" w:rsidRDefault="00A1681E" w:rsidP="00A1681E">
      <w:pPr>
        <w:pStyle w:val="aa"/>
        <w:numPr>
          <w:ilvl w:val="0"/>
          <w:numId w:val="1"/>
        </w:numPr>
        <w:autoSpaceDE/>
        <w:autoSpaceDN/>
        <w:spacing w:before="120" w:after="120" w:line="288" w:lineRule="auto"/>
        <w:jc w:val="center"/>
        <w:rPr>
          <w:rFonts w:ascii="Garamond" w:hAnsi="Garamond"/>
          <w:b/>
          <w:sz w:val="22"/>
          <w:szCs w:val="22"/>
        </w:rPr>
      </w:pPr>
      <w:r w:rsidRPr="00D50237">
        <w:rPr>
          <w:rFonts w:ascii="Garamond" w:hAnsi="Garamond"/>
          <w:b/>
          <w:sz w:val="22"/>
          <w:szCs w:val="22"/>
        </w:rPr>
        <w:t>ПРЕДМЕТ ДОГОВОРА</w:t>
      </w:r>
    </w:p>
    <w:p w14:paraId="01814B82" w14:textId="1E1FF48F"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В соответствии с настоящим Договором Поручитель принимает на себя перед Кредитором обязательство нести ответственность за полное и своевременное выполнение Должником, указанным в преамбуле к настоящему Договору, </w:t>
      </w:r>
      <w:r w:rsidRPr="00D50237">
        <w:rPr>
          <w:rFonts w:ascii="Garamond" w:hAnsi="Garamond" w:cs="Garamond"/>
          <w:sz w:val="22"/>
          <w:szCs w:val="22"/>
        </w:rPr>
        <w:t xml:space="preserve">или иным лицом, к которому в результате реорганизации Должника перешли права и обязанности по договору о предоставлении мощности квалифицированных генерирующих объектов, функционирующих на основе использования </w:t>
      </w:r>
      <w:r w:rsidRPr="00D50237">
        <w:rPr>
          <w:rFonts w:ascii="Garamond" w:hAnsi="Garamond" w:cs="Garamond"/>
          <w:sz w:val="22"/>
          <w:szCs w:val="22"/>
        </w:rPr>
        <w:lastRenderedPageBreak/>
        <w:t>возобновляемых источников энергии,</w:t>
      </w:r>
      <w:r w:rsidRPr="00D50237">
        <w:rPr>
          <w:rFonts w:ascii="Garamond" w:hAnsi="Garamond"/>
          <w:sz w:val="22"/>
          <w:szCs w:val="22"/>
        </w:rPr>
        <w:t xml:space="preserve">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от ______________ № _______________ (далее – ДПМ ВИЭ), своих обязательств по </w:t>
      </w:r>
      <w:r w:rsidR="00B31D77" w:rsidRPr="00D50237">
        <w:rPr>
          <w:rFonts w:ascii="Garamond" w:hAnsi="Garamond"/>
          <w:sz w:val="22"/>
          <w:szCs w:val="22"/>
        </w:rPr>
        <w:t>у</w:t>
      </w:r>
      <w:r w:rsidRPr="00D50237">
        <w:rPr>
          <w:rFonts w:ascii="Garamond" w:hAnsi="Garamond"/>
          <w:sz w:val="22"/>
          <w:szCs w:val="22"/>
        </w:rPr>
        <w:t xml:space="preserve">плате неустоек (штрафов, пени), возникших из указанного ДПМ ВИЭ (за исключением обязательства по </w:t>
      </w:r>
      <w:r w:rsidR="00B31D77" w:rsidRPr="00D50237">
        <w:rPr>
          <w:rFonts w:ascii="Garamond" w:hAnsi="Garamond"/>
          <w:sz w:val="22"/>
          <w:szCs w:val="22"/>
        </w:rPr>
        <w:t>у</w:t>
      </w:r>
      <w:r w:rsidRPr="00D50237">
        <w:rPr>
          <w:rFonts w:ascii="Garamond" w:hAnsi="Garamond"/>
          <w:sz w:val="22"/>
          <w:szCs w:val="22"/>
        </w:rPr>
        <w:t>плате штрафа, предусмотренного пунктом 11.5 ДПМ ВИЭ), заключенного с Кредитором в отношении объекта генерации, расположенного в указанном в ДПМ ВИЭ субъекте Российской Федерации в границах ценовой зоны, указанной в настоящем пункте, поставка мощности которого в соответствии с ДПМ ВИЭ начинается в ______ году, и соответствующего следующим идентификационным параметрам:</w:t>
      </w:r>
    </w:p>
    <w:tbl>
      <w:tblPr>
        <w:tblpPr w:leftFromText="180" w:rightFromText="180" w:vertAnchor="text" w:horzAnchor="page" w:tblpX="2490" w:tblpY="67"/>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118"/>
        <w:gridCol w:w="2977"/>
      </w:tblGrid>
      <w:tr w:rsidR="00A1681E" w:rsidRPr="00D50237" w14:paraId="1746C442" w14:textId="77777777" w:rsidTr="00A57BF9">
        <w:trPr>
          <w:trHeight w:val="417"/>
        </w:trPr>
        <w:tc>
          <w:tcPr>
            <w:tcW w:w="2660" w:type="dxa"/>
            <w:vMerge w:val="restart"/>
          </w:tcPr>
          <w:p w14:paraId="583A768B" w14:textId="77777777" w:rsidR="00A1681E" w:rsidRPr="00D50237" w:rsidRDefault="00A1681E" w:rsidP="00A57BF9">
            <w:pPr>
              <w:keepNext/>
              <w:spacing w:after="120" w:line="288" w:lineRule="auto"/>
              <w:jc w:val="center"/>
              <w:rPr>
                <w:b/>
              </w:rPr>
            </w:pPr>
            <w:r w:rsidRPr="00D50237">
              <w:rPr>
                <w:b/>
                <w:bCs/>
              </w:rPr>
              <w:t>Код ГТП генерации</w:t>
            </w:r>
          </w:p>
        </w:tc>
        <w:tc>
          <w:tcPr>
            <w:tcW w:w="3118" w:type="dxa"/>
            <w:vMerge w:val="restart"/>
          </w:tcPr>
          <w:p w14:paraId="55E294CD" w14:textId="77777777" w:rsidR="00A1681E" w:rsidRPr="00D50237" w:rsidRDefault="00A1681E" w:rsidP="00A57BF9">
            <w:pPr>
              <w:keepNext/>
              <w:spacing w:after="120" w:line="288" w:lineRule="auto"/>
              <w:jc w:val="center"/>
              <w:outlineLvl w:val="0"/>
              <w:rPr>
                <w:b/>
              </w:rPr>
            </w:pPr>
            <w:r w:rsidRPr="00D50237">
              <w:rPr>
                <w:b/>
                <w:bCs/>
              </w:rPr>
              <w:t>Вид объекта генерации</w:t>
            </w:r>
          </w:p>
        </w:tc>
        <w:tc>
          <w:tcPr>
            <w:tcW w:w="2977" w:type="dxa"/>
            <w:vMerge w:val="restart"/>
          </w:tcPr>
          <w:p w14:paraId="70736DC3" w14:textId="77777777" w:rsidR="00A1681E" w:rsidRPr="00D50237" w:rsidRDefault="00A1681E" w:rsidP="00A57BF9">
            <w:pPr>
              <w:keepNext/>
              <w:spacing w:after="120" w:line="288" w:lineRule="auto"/>
              <w:jc w:val="center"/>
              <w:outlineLvl w:val="0"/>
              <w:rPr>
                <w:b/>
                <w:bCs/>
              </w:rPr>
            </w:pPr>
            <w:r w:rsidRPr="00D50237">
              <w:rPr>
                <w:b/>
                <w:bCs/>
              </w:rPr>
              <w:t>Ценовая зона</w:t>
            </w:r>
          </w:p>
        </w:tc>
      </w:tr>
      <w:tr w:rsidR="00A1681E" w:rsidRPr="00D50237" w14:paraId="2E39BAFD" w14:textId="77777777" w:rsidTr="00A57BF9">
        <w:trPr>
          <w:trHeight w:val="575"/>
        </w:trPr>
        <w:tc>
          <w:tcPr>
            <w:tcW w:w="2660" w:type="dxa"/>
            <w:vMerge/>
          </w:tcPr>
          <w:p w14:paraId="10E3D98B" w14:textId="77777777" w:rsidR="00A1681E" w:rsidRPr="00D50237" w:rsidRDefault="00A1681E" w:rsidP="00A57BF9">
            <w:pPr>
              <w:keepNext/>
              <w:spacing w:after="120" w:line="288" w:lineRule="auto"/>
              <w:jc w:val="center"/>
              <w:rPr>
                <w:b/>
                <w:bCs/>
              </w:rPr>
            </w:pPr>
          </w:p>
        </w:tc>
        <w:tc>
          <w:tcPr>
            <w:tcW w:w="3118" w:type="dxa"/>
            <w:vMerge/>
          </w:tcPr>
          <w:p w14:paraId="101D5A81" w14:textId="77777777" w:rsidR="00A1681E" w:rsidRPr="00D50237" w:rsidRDefault="00A1681E" w:rsidP="00A57BF9">
            <w:pPr>
              <w:keepNext/>
              <w:spacing w:after="120" w:line="288" w:lineRule="auto"/>
              <w:jc w:val="center"/>
              <w:outlineLvl w:val="0"/>
              <w:rPr>
                <w:b/>
                <w:bCs/>
              </w:rPr>
            </w:pPr>
          </w:p>
        </w:tc>
        <w:tc>
          <w:tcPr>
            <w:tcW w:w="2977" w:type="dxa"/>
            <w:vMerge/>
          </w:tcPr>
          <w:p w14:paraId="5125B265" w14:textId="77777777" w:rsidR="00A1681E" w:rsidRPr="00D50237" w:rsidRDefault="00A1681E" w:rsidP="00A57BF9">
            <w:pPr>
              <w:keepNext/>
              <w:spacing w:after="120" w:line="288" w:lineRule="auto"/>
              <w:jc w:val="center"/>
              <w:outlineLvl w:val="0"/>
              <w:rPr>
                <w:b/>
                <w:bCs/>
                <w:strike/>
                <w:highlight w:val="yellow"/>
              </w:rPr>
            </w:pPr>
          </w:p>
        </w:tc>
      </w:tr>
      <w:tr w:rsidR="00A1681E" w:rsidRPr="00D50237" w14:paraId="75F16734" w14:textId="77777777" w:rsidTr="00A57BF9">
        <w:tc>
          <w:tcPr>
            <w:tcW w:w="2660" w:type="dxa"/>
          </w:tcPr>
          <w:p w14:paraId="77C73DC5" w14:textId="77777777" w:rsidR="00A1681E" w:rsidRPr="00D50237" w:rsidRDefault="00A1681E" w:rsidP="00A57BF9">
            <w:pPr>
              <w:keepNext/>
              <w:spacing w:after="120" w:line="288" w:lineRule="auto"/>
              <w:jc w:val="both"/>
              <w:outlineLvl w:val="0"/>
              <w:rPr>
                <w:b/>
              </w:rPr>
            </w:pPr>
          </w:p>
        </w:tc>
        <w:tc>
          <w:tcPr>
            <w:tcW w:w="3118" w:type="dxa"/>
          </w:tcPr>
          <w:p w14:paraId="3199A1CF" w14:textId="77777777" w:rsidR="00A1681E" w:rsidRPr="00D50237" w:rsidRDefault="00A1681E" w:rsidP="00A57BF9">
            <w:pPr>
              <w:keepNext/>
              <w:spacing w:after="120" w:line="288" w:lineRule="auto"/>
              <w:jc w:val="both"/>
              <w:outlineLvl w:val="0"/>
              <w:rPr>
                <w:b/>
              </w:rPr>
            </w:pPr>
          </w:p>
        </w:tc>
        <w:tc>
          <w:tcPr>
            <w:tcW w:w="2977" w:type="dxa"/>
          </w:tcPr>
          <w:p w14:paraId="6DE143C2" w14:textId="77777777" w:rsidR="00A1681E" w:rsidRPr="00D50237" w:rsidRDefault="00A1681E" w:rsidP="00A57BF9">
            <w:pPr>
              <w:keepNext/>
              <w:spacing w:after="120" w:line="288" w:lineRule="auto"/>
              <w:jc w:val="both"/>
              <w:outlineLvl w:val="0"/>
              <w:rPr>
                <w:b/>
                <w:strike/>
                <w:highlight w:val="yellow"/>
              </w:rPr>
            </w:pPr>
          </w:p>
        </w:tc>
      </w:tr>
    </w:tbl>
    <w:p w14:paraId="49112E4D" w14:textId="77777777" w:rsidR="00A1681E" w:rsidRPr="00D50237" w:rsidRDefault="00A1681E" w:rsidP="00A1681E">
      <w:pPr>
        <w:pStyle w:val="aa"/>
        <w:autoSpaceDE/>
        <w:autoSpaceDN/>
        <w:spacing w:before="120" w:after="120" w:line="288" w:lineRule="auto"/>
        <w:ind w:left="720" w:right="-27"/>
        <w:jc w:val="both"/>
        <w:rPr>
          <w:rFonts w:ascii="Garamond" w:hAnsi="Garamond"/>
          <w:sz w:val="22"/>
          <w:szCs w:val="22"/>
        </w:rPr>
      </w:pPr>
    </w:p>
    <w:p w14:paraId="332A15EB" w14:textId="77777777" w:rsidR="00A1681E" w:rsidRPr="00D50237" w:rsidRDefault="00A1681E" w:rsidP="00A1681E">
      <w:pPr>
        <w:pStyle w:val="aa"/>
        <w:autoSpaceDE/>
        <w:autoSpaceDN/>
        <w:spacing w:before="120" w:after="120" w:line="288" w:lineRule="auto"/>
        <w:ind w:left="720" w:right="-27"/>
        <w:jc w:val="both"/>
        <w:rPr>
          <w:rFonts w:ascii="Garamond" w:hAnsi="Garamond"/>
          <w:sz w:val="22"/>
          <w:szCs w:val="22"/>
        </w:rPr>
      </w:pPr>
    </w:p>
    <w:p w14:paraId="709798F5" w14:textId="77777777" w:rsidR="00A1681E" w:rsidRPr="00D50237" w:rsidRDefault="00A1681E" w:rsidP="00A1681E">
      <w:pPr>
        <w:pStyle w:val="aa"/>
        <w:autoSpaceDE/>
        <w:autoSpaceDN/>
        <w:spacing w:before="120" w:after="120" w:line="288" w:lineRule="auto"/>
        <w:ind w:left="720" w:right="-27"/>
        <w:jc w:val="both"/>
        <w:rPr>
          <w:rFonts w:ascii="Garamond" w:hAnsi="Garamond"/>
          <w:sz w:val="22"/>
          <w:szCs w:val="22"/>
        </w:rPr>
      </w:pPr>
    </w:p>
    <w:p w14:paraId="02D3DEE0" w14:textId="77777777" w:rsidR="00A1681E" w:rsidRPr="00D50237" w:rsidRDefault="00A1681E" w:rsidP="00A1681E">
      <w:pPr>
        <w:pStyle w:val="aa"/>
        <w:spacing w:before="120" w:after="120" w:line="288" w:lineRule="auto"/>
        <w:ind w:left="0" w:right="-27"/>
        <w:jc w:val="both"/>
        <w:rPr>
          <w:rFonts w:ascii="Garamond" w:hAnsi="Garamond"/>
          <w:sz w:val="22"/>
          <w:szCs w:val="22"/>
        </w:rPr>
      </w:pPr>
    </w:p>
    <w:p w14:paraId="1519F232" w14:textId="77777777" w:rsidR="00A1681E" w:rsidRPr="00D50237" w:rsidRDefault="00A1681E" w:rsidP="00A1681E">
      <w:pPr>
        <w:pStyle w:val="aa"/>
        <w:autoSpaceDE/>
        <w:autoSpaceDN/>
        <w:spacing w:before="120" w:after="120" w:line="288" w:lineRule="auto"/>
        <w:ind w:left="360"/>
        <w:rPr>
          <w:rFonts w:ascii="Garamond" w:hAnsi="Garamond"/>
          <w:b/>
          <w:sz w:val="22"/>
          <w:szCs w:val="22"/>
        </w:rPr>
      </w:pPr>
    </w:p>
    <w:p w14:paraId="1F6D3233" w14:textId="77777777" w:rsidR="00A1681E" w:rsidRPr="00D50237" w:rsidRDefault="00A1681E" w:rsidP="00A1681E">
      <w:pPr>
        <w:pStyle w:val="aa"/>
        <w:numPr>
          <w:ilvl w:val="0"/>
          <w:numId w:val="1"/>
        </w:numPr>
        <w:autoSpaceDE/>
        <w:autoSpaceDN/>
        <w:spacing w:before="120" w:after="120" w:line="288" w:lineRule="auto"/>
        <w:jc w:val="center"/>
        <w:rPr>
          <w:rFonts w:ascii="Garamond" w:hAnsi="Garamond"/>
          <w:b/>
          <w:sz w:val="22"/>
          <w:szCs w:val="22"/>
        </w:rPr>
      </w:pPr>
      <w:r w:rsidRPr="00D50237">
        <w:rPr>
          <w:rFonts w:ascii="Garamond" w:hAnsi="Garamond"/>
          <w:b/>
          <w:sz w:val="22"/>
          <w:szCs w:val="22"/>
        </w:rPr>
        <w:t>ОБЪЕМ ОТВЕТСТВЕННОСТИ ПОРУЧИТЕЛЯ</w:t>
      </w:r>
    </w:p>
    <w:p w14:paraId="3B2B8454" w14:textId="7C9CAE25"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Поручитель несет перед Кредитором солидарную с Должником ответственность по возникшим обязательствам последнего в том же объеме, в котором такую ответственность по заключенному с Кредитором ДПМ ВИЭ в отношении указанного в пункте 2.1 настоящего Договора объекта генерации несет Должник (за исключением ответственности по </w:t>
      </w:r>
      <w:r w:rsidR="00B31D77" w:rsidRPr="00D50237">
        <w:rPr>
          <w:rFonts w:ascii="Garamond" w:hAnsi="Garamond"/>
          <w:sz w:val="22"/>
          <w:szCs w:val="22"/>
        </w:rPr>
        <w:t>у</w:t>
      </w:r>
      <w:r w:rsidRPr="00D50237">
        <w:rPr>
          <w:rFonts w:ascii="Garamond" w:hAnsi="Garamond"/>
          <w:sz w:val="22"/>
          <w:szCs w:val="22"/>
        </w:rPr>
        <w:t>плате штрафа, предусмотренного пунктом 11.5 ДПМ ВИЭ), в том числе по обязательствам, возникшим из указанного ДПМ ВИЭ до заключения настоящего Договора.</w:t>
      </w:r>
    </w:p>
    <w:p w14:paraId="0F804E08" w14:textId="15323F0C"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Поручитель без каких-либо изъятий и ограничений несет перед Кредитором солидарную с Должником ответственность за неисполнение или ненадлежащее исполнение Должником любого одного, нескольких или всех в совокупности обязательств по </w:t>
      </w:r>
      <w:r w:rsidR="00B31D77" w:rsidRPr="00D50237">
        <w:rPr>
          <w:rFonts w:ascii="Garamond" w:hAnsi="Garamond"/>
          <w:sz w:val="22"/>
          <w:szCs w:val="22"/>
        </w:rPr>
        <w:t>у</w:t>
      </w:r>
      <w:r w:rsidRPr="00D50237">
        <w:rPr>
          <w:rFonts w:ascii="Garamond" w:hAnsi="Garamond"/>
          <w:sz w:val="22"/>
          <w:szCs w:val="22"/>
        </w:rPr>
        <w:t>плате неустоек (штрафов, пени), предусмотренных ДПМ ВИЭ (за исключением штрафа, предусмотренного пунктом 11.5 ДПМ ВИЭ), заключенным в отношении указанного в пункте 2.1 настоящего Договора объекта генерации.</w:t>
      </w:r>
    </w:p>
    <w:p w14:paraId="483E2F45" w14:textId="77777777" w:rsidR="00A1681E" w:rsidRPr="00D50237" w:rsidRDefault="00A1681E" w:rsidP="00A1681E">
      <w:pPr>
        <w:pStyle w:val="aa"/>
        <w:numPr>
          <w:ilvl w:val="1"/>
          <w:numId w:val="1"/>
        </w:numPr>
        <w:autoSpaceDE/>
        <w:autoSpaceDN/>
        <w:spacing w:before="120" w:after="120" w:line="288" w:lineRule="auto"/>
        <w:ind w:right="-27" w:hanging="792"/>
        <w:jc w:val="both"/>
        <w:rPr>
          <w:rFonts w:ascii="Garamond" w:hAnsi="Garamond"/>
          <w:sz w:val="22"/>
          <w:szCs w:val="22"/>
        </w:rPr>
      </w:pPr>
      <w:r w:rsidRPr="00D50237">
        <w:rPr>
          <w:rFonts w:ascii="Garamond" w:hAnsi="Garamond"/>
          <w:sz w:val="22"/>
          <w:szCs w:val="22"/>
        </w:rPr>
        <w:t xml:space="preserve">При этом совокупный размер неустойки (штрафа, пени), обеспеченный всеми договорами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D50237">
        <w:rPr>
          <w:rFonts w:ascii="Garamond" w:hAnsi="Garamond" w:cs="Garamond"/>
          <w:sz w:val="22"/>
          <w:szCs w:val="22"/>
          <w:lang w:eastAsia="ar-SA"/>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заключен</w:t>
      </w:r>
      <w:r w:rsidRPr="00D50237">
        <w:rPr>
          <w:rFonts w:ascii="Garamond" w:hAnsi="Garamond"/>
          <w:sz w:val="22"/>
          <w:szCs w:val="22"/>
        </w:rPr>
        <w:t xml:space="preserve">ными Поручителем </w:t>
      </w:r>
      <w:r w:rsidRPr="00D50237">
        <w:rPr>
          <w:rFonts w:ascii="Garamond" w:hAnsi="Garamond" w:cs="Arial"/>
          <w:sz w:val="22"/>
          <w:szCs w:val="22"/>
        </w:rPr>
        <w:t xml:space="preserve">в отношении объекта </w:t>
      </w:r>
      <w:r w:rsidRPr="00D50237">
        <w:rPr>
          <w:rFonts w:ascii="Garamond" w:hAnsi="Garamond"/>
          <w:sz w:val="22"/>
          <w:szCs w:val="22"/>
        </w:rPr>
        <w:t>генерации, указанного в пункте 2.1 настоящего Договора, в целях обеспечения обязательств Должника по ДПМ ВИЭ до истечения 1</w:t>
      </w:r>
      <w:r w:rsidR="00524D09" w:rsidRPr="00D50237">
        <w:rPr>
          <w:rFonts w:ascii="Garamond" w:hAnsi="Garamond"/>
          <w:sz w:val="22"/>
          <w:szCs w:val="22"/>
        </w:rPr>
        <w:t>9</w:t>
      </w:r>
      <w:r w:rsidRPr="00D50237">
        <w:rPr>
          <w:rFonts w:ascii="Garamond" w:hAnsi="Garamond"/>
          <w:sz w:val="22"/>
          <w:szCs w:val="22"/>
        </w:rPr>
        <w:t xml:space="preserve"> (</w:t>
      </w:r>
      <w:r w:rsidR="00524D09" w:rsidRPr="00D50237">
        <w:rPr>
          <w:rFonts w:ascii="Garamond" w:hAnsi="Garamond"/>
          <w:sz w:val="22"/>
          <w:szCs w:val="22"/>
        </w:rPr>
        <w:t>девят</w:t>
      </w:r>
      <w:r w:rsidRPr="00D50237">
        <w:rPr>
          <w:rFonts w:ascii="Garamond" w:hAnsi="Garamond"/>
          <w:sz w:val="22"/>
          <w:szCs w:val="22"/>
        </w:rPr>
        <w:t xml:space="preserve">надцати) месяцев с даты начала поставки мощности по указанным ДПМ ВИЭ, не превышает </w:t>
      </w:r>
      <w:r w:rsidR="00524D09" w:rsidRPr="00D50237">
        <w:rPr>
          <w:rFonts w:ascii="Garamond" w:hAnsi="Garamond"/>
          <w:sz w:val="22"/>
          <w:szCs w:val="22"/>
        </w:rPr>
        <w:t>22</w:t>
      </w:r>
      <w:r w:rsidRPr="00D50237">
        <w:rPr>
          <w:rFonts w:ascii="Garamond" w:hAnsi="Garamond"/>
          <w:sz w:val="22"/>
          <w:szCs w:val="22"/>
        </w:rPr>
        <w:t xml:space="preserve"> % от произведения предельной величины </w:t>
      </w:r>
      <w:r w:rsidR="00EB40AA" w:rsidRPr="00D50237">
        <w:rPr>
          <w:rFonts w:ascii="Garamond" w:hAnsi="Garamond"/>
          <w:sz w:val="22"/>
          <w:szCs w:val="22"/>
        </w:rPr>
        <w:t xml:space="preserve">показателя </w:t>
      </w:r>
      <w:r w:rsidRPr="00D50237">
        <w:rPr>
          <w:rFonts w:ascii="Garamond" w:hAnsi="Garamond"/>
          <w:sz w:val="22"/>
          <w:szCs w:val="22"/>
        </w:rPr>
        <w:t xml:space="preserve">эффективности генерирующего объекта, опубликованной АО «АТС»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ОПВ), по результатам которого отобран объект генерации, указанный в пункте 2.1 настоящего Договора,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Договора, но не превышающего ________ МВт∙ч. </w:t>
      </w:r>
    </w:p>
    <w:p w14:paraId="14A843E9"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Обязательства Поручителя по настоящему Договору возникают с даты его заключения и прекращаются по истечении 1</w:t>
      </w:r>
      <w:r w:rsidR="00E23D2D" w:rsidRPr="00D50237">
        <w:rPr>
          <w:rFonts w:ascii="Garamond" w:hAnsi="Garamond"/>
          <w:sz w:val="22"/>
          <w:szCs w:val="22"/>
        </w:rPr>
        <w:t>9</w:t>
      </w:r>
      <w:r w:rsidRPr="00D50237">
        <w:rPr>
          <w:rFonts w:ascii="Garamond" w:hAnsi="Garamond"/>
          <w:sz w:val="22"/>
          <w:szCs w:val="22"/>
        </w:rPr>
        <w:t xml:space="preserve"> (</w:t>
      </w:r>
      <w:r w:rsidR="00E23D2D" w:rsidRPr="00D50237">
        <w:rPr>
          <w:rFonts w:ascii="Garamond" w:hAnsi="Garamond"/>
          <w:sz w:val="22"/>
          <w:szCs w:val="22"/>
        </w:rPr>
        <w:t>девят</w:t>
      </w:r>
      <w:r w:rsidRPr="00D50237">
        <w:rPr>
          <w:rFonts w:ascii="Garamond" w:hAnsi="Garamond"/>
          <w:sz w:val="22"/>
          <w:szCs w:val="22"/>
        </w:rPr>
        <w:t>надцати) месяцев с указанной в сформированном АО «АТС» в соответствии с Договором о присоединении перечне отобранных проектов по результатам ОПВ даты начала поставки мощности с использованием объекта генерации, указанного в пункте 2.1 настоящего Договора.</w:t>
      </w:r>
    </w:p>
    <w:p w14:paraId="1641ECF5" w14:textId="15DC7BB7" w:rsidR="00A1681E" w:rsidRPr="00D50237" w:rsidRDefault="00A1681E" w:rsidP="00A1681E">
      <w:pPr>
        <w:pStyle w:val="aa"/>
        <w:spacing w:before="120" w:after="120" w:line="288" w:lineRule="auto"/>
        <w:ind w:left="720" w:right="-27"/>
        <w:jc w:val="both"/>
        <w:rPr>
          <w:rFonts w:ascii="Garamond" w:hAnsi="Garamond"/>
          <w:sz w:val="22"/>
          <w:szCs w:val="22"/>
        </w:rPr>
      </w:pPr>
      <w:r w:rsidRPr="00D50237">
        <w:rPr>
          <w:rFonts w:ascii="Garamond" w:hAnsi="Garamond"/>
          <w:sz w:val="22"/>
          <w:szCs w:val="22"/>
        </w:rPr>
        <w:t>Изменение в порядке, предусмотренном ДПМ ВИЭ, даты начала поставки мощности объекта генерации, указанного в пункте 2.1 настоящего Договора, а также месторасположения данного объекта генерации в части субъекта Российской Федерации в пределах ценовой зоны, указанной в пункте 2.1 настоящего Договора, не влечет прекращени</w:t>
      </w:r>
      <w:r w:rsidR="00B31D77" w:rsidRPr="00D50237">
        <w:rPr>
          <w:rFonts w:ascii="Garamond" w:hAnsi="Garamond"/>
          <w:sz w:val="22"/>
          <w:szCs w:val="22"/>
        </w:rPr>
        <w:t>я</w:t>
      </w:r>
      <w:r w:rsidRPr="00D50237">
        <w:rPr>
          <w:rFonts w:ascii="Garamond" w:hAnsi="Garamond"/>
          <w:sz w:val="22"/>
          <w:szCs w:val="22"/>
        </w:rPr>
        <w:t xml:space="preserve"> обязательств Поручителя по настоящему Договору. </w:t>
      </w:r>
    </w:p>
    <w:p w14:paraId="7A2C2607" w14:textId="77777777" w:rsidR="00A1681E" w:rsidRPr="00D50237" w:rsidRDefault="00A1681E" w:rsidP="00A1681E">
      <w:pPr>
        <w:pStyle w:val="aa"/>
        <w:spacing w:before="120" w:after="120" w:line="288" w:lineRule="auto"/>
        <w:ind w:left="720" w:right="-27"/>
        <w:jc w:val="both"/>
        <w:rPr>
          <w:rFonts w:ascii="Garamond" w:hAnsi="Garamond"/>
          <w:sz w:val="22"/>
          <w:szCs w:val="22"/>
        </w:rPr>
      </w:pPr>
      <w:r w:rsidRPr="00D50237">
        <w:rPr>
          <w:rFonts w:ascii="Garamond" w:hAnsi="Garamond"/>
          <w:sz w:val="22"/>
          <w:szCs w:val="22"/>
        </w:rPr>
        <w:t>В случае изменения даты начала поставки мощности обязательства Поручителя по настоящему Договору прекращаются по истечении 1</w:t>
      </w:r>
      <w:r w:rsidR="001A1C43" w:rsidRPr="00D50237">
        <w:rPr>
          <w:rFonts w:ascii="Garamond" w:hAnsi="Garamond"/>
          <w:sz w:val="22"/>
          <w:szCs w:val="22"/>
        </w:rPr>
        <w:t>9</w:t>
      </w:r>
      <w:r w:rsidRPr="00D50237">
        <w:rPr>
          <w:rFonts w:ascii="Garamond" w:hAnsi="Garamond"/>
          <w:sz w:val="22"/>
          <w:szCs w:val="22"/>
        </w:rPr>
        <w:t xml:space="preserve"> (</w:t>
      </w:r>
      <w:r w:rsidR="001A1C43" w:rsidRPr="00D50237">
        <w:rPr>
          <w:rFonts w:ascii="Garamond" w:hAnsi="Garamond"/>
          <w:sz w:val="22"/>
          <w:szCs w:val="22"/>
        </w:rPr>
        <w:t>девят</w:t>
      </w:r>
      <w:r w:rsidRPr="00D50237">
        <w:rPr>
          <w:rFonts w:ascii="Garamond" w:hAnsi="Garamond"/>
          <w:sz w:val="22"/>
          <w:szCs w:val="22"/>
        </w:rPr>
        <w:t>надцати) месяцев с измененной даты начала поставки мощности с использованием объекта генерации, указанного в пункте 2.1 настоящего Договора.</w:t>
      </w:r>
    </w:p>
    <w:p w14:paraId="0ABBCF23" w14:textId="77777777" w:rsidR="00A1681E" w:rsidRPr="00D50237" w:rsidRDefault="00A1681E" w:rsidP="00A1681E">
      <w:pPr>
        <w:pStyle w:val="aa"/>
        <w:spacing w:before="120" w:after="120" w:line="288" w:lineRule="auto"/>
        <w:ind w:left="720" w:right="-27"/>
        <w:jc w:val="both"/>
        <w:rPr>
          <w:rFonts w:ascii="Garamond" w:hAnsi="Garamond"/>
          <w:sz w:val="22"/>
          <w:szCs w:val="22"/>
        </w:rPr>
      </w:pPr>
      <w:r w:rsidRPr="00D50237">
        <w:rPr>
          <w:rFonts w:ascii="Garamond" w:hAnsi="Garamond"/>
          <w:sz w:val="22"/>
          <w:szCs w:val="22"/>
        </w:rPr>
        <w:t>В случае если настоящий Договор заключен в целях обеспечения обязательств Должника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которых дата начала поставки мощности изменена на более позднюю дату, обязательства Поручителя по настоящему Договору прекращаются по истечении 1</w:t>
      </w:r>
      <w:r w:rsidR="001A1C43" w:rsidRPr="00D50237">
        <w:rPr>
          <w:rFonts w:ascii="Garamond" w:hAnsi="Garamond"/>
          <w:sz w:val="22"/>
          <w:szCs w:val="22"/>
        </w:rPr>
        <w:t>9</w:t>
      </w:r>
      <w:r w:rsidRPr="00D50237">
        <w:rPr>
          <w:rFonts w:ascii="Garamond" w:hAnsi="Garamond"/>
          <w:sz w:val="22"/>
          <w:szCs w:val="22"/>
        </w:rPr>
        <w:t xml:space="preserve"> (</w:t>
      </w:r>
      <w:r w:rsidR="001A1C43" w:rsidRPr="00D50237">
        <w:rPr>
          <w:rFonts w:ascii="Garamond" w:hAnsi="Garamond"/>
          <w:sz w:val="22"/>
          <w:szCs w:val="22"/>
        </w:rPr>
        <w:t>девят</w:t>
      </w:r>
      <w:r w:rsidRPr="00D50237">
        <w:rPr>
          <w:rFonts w:ascii="Garamond" w:hAnsi="Garamond"/>
          <w:sz w:val="22"/>
          <w:szCs w:val="22"/>
        </w:rPr>
        <w:t>надцати) месяцев с измененной даты начала поставки мощности с использованием объекта генерации, указанного в пункте 2.1 настоящего Договора.</w:t>
      </w:r>
    </w:p>
    <w:p w14:paraId="6206171A" w14:textId="77777777" w:rsidR="00E23D2D" w:rsidRPr="00D50237" w:rsidRDefault="00E23D2D" w:rsidP="00A1681E">
      <w:pPr>
        <w:pStyle w:val="aa"/>
        <w:spacing w:before="120" w:after="120" w:line="288" w:lineRule="auto"/>
        <w:ind w:left="720" w:right="-27"/>
        <w:jc w:val="both"/>
        <w:rPr>
          <w:rFonts w:ascii="Garamond" w:hAnsi="Garamond"/>
          <w:sz w:val="22"/>
          <w:szCs w:val="22"/>
        </w:rPr>
      </w:pPr>
      <w:r w:rsidRPr="00D50237">
        <w:rPr>
          <w:rFonts w:ascii="Garamond" w:hAnsi="Garamond"/>
          <w:sz w:val="22"/>
          <w:szCs w:val="22"/>
        </w:rPr>
        <w:t>Заключение настоящего Договора не влечет за собой прекращения либо замены обязательств, вытекающих из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w:t>
      </w:r>
      <w:r w:rsidR="001A1C43" w:rsidRPr="00D50237">
        <w:rPr>
          <w:rFonts w:ascii="Garamond" w:hAnsi="Garamond"/>
          <w:sz w:val="22"/>
          <w:szCs w:val="22"/>
        </w:rPr>
        <w:t xml:space="preserve"> 1 января 2021 года, заключенных</w:t>
      </w:r>
      <w:r w:rsidRPr="00D50237">
        <w:rPr>
          <w:rFonts w:ascii="Garamond" w:hAnsi="Garamond"/>
          <w:sz w:val="22"/>
          <w:szCs w:val="22"/>
        </w:rPr>
        <w:t xml:space="preserve"> ранее на оптовом рынке между теми же сторонами и предусматривающих иной срок прекращения обязательств Поручителя.</w:t>
      </w:r>
    </w:p>
    <w:p w14:paraId="1EB132CA"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НЕДОПУСТИМОСТЬ ВОЗРАЖЕНИЙ ОБ ОТСУТСТВИИ ПОЛНОМОЧИЙ</w:t>
      </w:r>
    </w:p>
    <w:p w14:paraId="0EF629E8"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Единственным условием обращения к Поручителю основанного на настоящем Договоре требования является неисполнение или ненадлежащее исполнение Должником обеспеченной поручительством обязанности (обязанностей) Должника по ДПМ ВИЭ, заключенным с Кредитором в отношении указанного в пункте 2.1 настоящего Договора объекта генерации. </w:t>
      </w:r>
    </w:p>
    <w:p w14:paraId="14B25771"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Поручитель не вправе выдвигать против обращенного к нему солидарно с Должником или отдельно от Должника требования об исполнении какого-либо из обязательств Должника, в отношении которого в соответствии с настоящим Договором выдано поручительство, возражение об отсутствии у Кредитора полномочий на заявление такого требования.</w:t>
      </w:r>
    </w:p>
    <w:p w14:paraId="18D13955"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Для заявления Поручителю любого основанного на настоящем Договоре требования дополнительное (предварительное или последующее) получение Должником каких-либо согласий или полномочий, заявлений, требований или уведомлений от Кредитора не требуется.</w:t>
      </w:r>
    </w:p>
    <w:p w14:paraId="2D913CF5"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НЕДОПУСТИМОСТЬ ВОЗРАЖЕНИЙ О ДОСТАТОЧНОСТИ ИМУЩЕСТВА ДОЛЖНИКА</w:t>
      </w:r>
    </w:p>
    <w:p w14:paraId="37DC5CFE"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Выдвижение Поручителем против основанного на настоящем Договоре требования возражения о достаточности имущества Должника для исполнения обязательства по уплате неустойки (штрафа), в том числе о достаточности денежных средств на клиринговом (торговом) счете Должника, не допускается.</w:t>
      </w:r>
    </w:p>
    <w:p w14:paraId="1BE85BE2"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Обращение взыскания на имущество Должника не лишает Кредитора права также потребовать от Поручителя исполнения его обязательств по настоящему Договору полностью или частично в случае, если решение суда об обращении взыскания не может быть исполнено вследствие отсутствия у Должника имущества или его недостаточности для исполнения решения суда в полном объеме.</w:t>
      </w:r>
    </w:p>
    <w:p w14:paraId="3C19BE40"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ИСПОЛНЕНИЕ ПОРУЧИТЕЛЕМ СВОИХ ОБЯЗАТЕЛЬСТВ</w:t>
      </w:r>
    </w:p>
    <w:p w14:paraId="42A46C39"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Порядок использования поручительства, предоставленного в соответствии с настоящим Договором, определяется Договором о присоединении. Поручитель и Должник уведомляются об использовании поручительства, предоставленного в соответствии с настоящим Договором, в порядке и сроки, предусмотренные Договором о присоединении. </w:t>
      </w:r>
    </w:p>
    <w:p w14:paraId="38D8B1C8"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Требование Кредитора к Поручителю об исполнении обязательств по настоящему Договору исполняется путем списания денежных средств с клирингового счета, открытого в уполномоченной кредитной организации, в порядке, предусмотренном Договорами о присоединении.</w:t>
      </w:r>
    </w:p>
    <w:p w14:paraId="6C290EC9"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К Поручителю, исполнившему за Должника обязательство (обязательства), указанное (указанные) в пункте 2.1 настоящего Договора, переходят права Кредитора по такому обязательству (обязательствам) в том объеме, в котором Поручитель удовлетворил требование Кредитора.</w:t>
      </w:r>
    </w:p>
    <w:p w14:paraId="7E2919A5"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ПРЕКРАЩЕНИЕ ДОГОВОРА ПОРУЧИТЕЛЬСТВА</w:t>
      </w:r>
    </w:p>
    <w:p w14:paraId="09C9CD0D"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Основаниями для прекращения настоящего Договора являются:</w:t>
      </w:r>
    </w:p>
    <w:p w14:paraId="1DCC13D0" w14:textId="77777777" w:rsidR="00A1681E" w:rsidRPr="00D50237" w:rsidRDefault="00A1681E" w:rsidP="00A1681E">
      <w:pPr>
        <w:pStyle w:val="aa"/>
        <w:numPr>
          <w:ilvl w:val="1"/>
          <w:numId w:val="3"/>
        </w:numPr>
        <w:autoSpaceDE/>
        <w:autoSpaceDN/>
        <w:spacing w:before="120" w:after="120" w:line="288" w:lineRule="auto"/>
        <w:ind w:left="1080" w:right="-27"/>
        <w:jc w:val="both"/>
        <w:rPr>
          <w:rFonts w:ascii="Garamond" w:hAnsi="Garamond"/>
          <w:sz w:val="22"/>
          <w:szCs w:val="22"/>
        </w:rPr>
      </w:pPr>
      <w:r w:rsidRPr="00D50237">
        <w:rPr>
          <w:rFonts w:ascii="Garamond" w:hAnsi="Garamond"/>
          <w:sz w:val="22"/>
          <w:szCs w:val="22"/>
        </w:rPr>
        <w:t>исполнение Поручителем обязательств, возникших из настоящего Договора;</w:t>
      </w:r>
    </w:p>
    <w:p w14:paraId="3920CCDC" w14:textId="77777777" w:rsidR="00A1681E" w:rsidRPr="00D50237" w:rsidRDefault="00A1681E" w:rsidP="00A1681E">
      <w:pPr>
        <w:pStyle w:val="aa"/>
        <w:numPr>
          <w:ilvl w:val="1"/>
          <w:numId w:val="3"/>
        </w:numPr>
        <w:autoSpaceDE/>
        <w:autoSpaceDN/>
        <w:spacing w:before="120" w:after="120" w:line="288" w:lineRule="auto"/>
        <w:ind w:left="1080" w:right="-27"/>
        <w:jc w:val="both"/>
        <w:rPr>
          <w:rFonts w:ascii="Garamond" w:hAnsi="Garamond"/>
          <w:sz w:val="22"/>
          <w:szCs w:val="22"/>
        </w:rPr>
      </w:pPr>
      <w:r w:rsidRPr="00D50237">
        <w:rPr>
          <w:rFonts w:ascii="Garamond" w:hAnsi="Garamond"/>
          <w:sz w:val="22"/>
          <w:szCs w:val="22"/>
        </w:rPr>
        <w:t>ликвидация Поручителя или Должника – с даты внесения в ЕГРЮЛ записи о ликвидации;</w:t>
      </w:r>
    </w:p>
    <w:p w14:paraId="3A5FD389" w14:textId="77777777" w:rsidR="00A1681E" w:rsidRPr="00D50237" w:rsidRDefault="00A1681E" w:rsidP="00A1681E">
      <w:pPr>
        <w:pStyle w:val="aa"/>
        <w:numPr>
          <w:ilvl w:val="1"/>
          <w:numId w:val="3"/>
        </w:numPr>
        <w:autoSpaceDE/>
        <w:autoSpaceDN/>
        <w:spacing w:before="120" w:after="120" w:line="288" w:lineRule="auto"/>
        <w:ind w:left="1080" w:right="-27"/>
        <w:jc w:val="both"/>
        <w:rPr>
          <w:rFonts w:ascii="Garamond" w:hAnsi="Garamond"/>
          <w:sz w:val="22"/>
          <w:szCs w:val="22"/>
        </w:rPr>
      </w:pPr>
      <w:r w:rsidRPr="00D50237">
        <w:rPr>
          <w:rFonts w:ascii="Garamond" w:hAnsi="Garamond"/>
          <w:sz w:val="22"/>
          <w:szCs w:val="22"/>
        </w:rPr>
        <w:t>совпадение Поручителя и Должника в одном лице</w:t>
      </w:r>
      <w:r w:rsidR="007C10DD" w:rsidRPr="00D50237">
        <w:rPr>
          <w:rFonts w:ascii="Garamond" w:hAnsi="Garamond"/>
          <w:sz w:val="22"/>
          <w:szCs w:val="22"/>
        </w:rPr>
        <w:t>.</w:t>
      </w:r>
    </w:p>
    <w:p w14:paraId="094310C8"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О принятом уполномоченным органом управления Поручителя решении о реорганизации (ликвидации) Поручитель обязан письменно уведомить Кредитора и АО «АТС» в течение семи календарных дней со дня принятия такого решения.</w:t>
      </w:r>
    </w:p>
    <w:p w14:paraId="6CE76C3F"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Опубликование Поручителем информации о принятом решении о реорганизации (ликвидации) в порядке, установленном законодательством Российской Федерации или учредительными документами Поручителя, не может рассматриваться в качестве выполнения Поручителем указанной в пункте 7.2 настоящего Договора обязанности.</w:t>
      </w:r>
    </w:p>
    <w:p w14:paraId="05309172"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Настоящий Договор может быть расторгнут при одностороннем внесудебном отказе по инициативе АО «АТС» в следующих случаях:</w:t>
      </w:r>
    </w:p>
    <w:p w14:paraId="33486CE6" w14:textId="77777777" w:rsidR="00A1681E" w:rsidRPr="00D50237" w:rsidRDefault="00A1681E" w:rsidP="00A1681E">
      <w:pPr>
        <w:pStyle w:val="aa"/>
        <w:spacing w:before="120" w:after="120" w:line="288" w:lineRule="auto"/>
        <w:ind w:left="770" w:right="-27"/>
        <w:jc w:val="both"/>
        <w:rPr>
          <w:rFonts w:ascii="Garamond" w:hAnsi="Garamond"/>
          <w:sz w:val="22"/>
          <w:szCs w:val="22"/>
        </w:rPr>
      </w:pPr>
      <w:r w:rsidRPr="00D50237">
        <w:rPr>
          <w:rFonts w:ascii="Garamond" w:hAnsi="Garamond"/>
          <w:sz w:val="22"/>
          <w:szCs w:val="22"/>
        </w:rPr>
        <w:t>– в случае замены обеспечения исполнения обязательств Должника по ДПМ ВИЭ в порядке, предусмотренном Договором о присоединении и регламентами оптового рынка;</w:t>
      </w:r>
    </w:p>
    <w:p w14:paraId="7C868D04" w14:textId="77777777" w:rsidR="00A1681E" w:rsidRPr="00D50237" w:rsidRDefault="00A1681E" w:rsidP="00A1681E">
      <w:pPr>
        <w:pStyle w:val="aa"/>
        <w:spacing w:before="120" w:after="120" w:line="288" w:lineRule="auto"/>
        <w:ind w:left="770" w:right="-27"/>
        <w:jc w:val="both"/>
        <w:rPr>
          <w:rFonts w:ascii="Garamond" w:hAnsi="Garamond"/>
          <w:sz w:val="22"/>
          <w:szCs w:val="22"/>
        </w:rPr>
      </w:pPr>
      <w:r w:rsidRPr="00D50237">
        <w:rPr>
          <w:rFonts w:ascii="Garamond" w:hAnsi="Garamond"/>
          <w:sz w:val="22"/>
          <w:szCs w:val="22"/>
        </w:rPr>
        <w:t>– в случае одновременного выполнения следующих условий:</w:t>
      </w:r>
    </w:p>
    <w:p w14:paraId="50DCCE02" w14:textId="77777777" w:rsidR="00A1681E" w:rsidRPr="00D50237" w:rsidRDefault="00A1681E" w:rsidP="00A1681E">
      <w:pPr>
        <w:pStyle w:val="aa"/>
        <w:numPr>
          <w:ilvl w:val="0"/>
          <w:numId w:val="4"/>
        </w:numPr>
        <w:spacing w:before="120" w:after="120" w:line="288" w:lineRule="auto"/>
        <w:ind w:left="1100" w:right="-27"/>
        <w:jc w:val="both"/>
        <w:rPr>
          <w:rFonts w:ascii="Garamond" w:hAnsi="Garamond"/>
          <w:sz w:val="22"/>
          <w:szCs w:val="22"/>
        </w:rPr>
      </w:pPr>
      <w:r w:rsidRPr="00D50237">
        <w:rPr>
          <w:rFonts w:ascii="Garamond" w:hAnsi="Garamond"/>
          <w:sz w:val="22"/>
          <w:szCs w:val="22"/>
        </w:rPr>
        <w:t xml:space="preserve">величина установленной мощности объекта генерации и предельный объем поставки мощности на оптовый рынок с использованием указанного в пункте 2.1 настоящего Договора объекта генерации, определенные АО «СО ЕЭС» в соответствии с Договором о присоединении, равны или больше предельной минимальной величины диапазона значений установленной мощности, указанного в приложении 2 к ДПМ ВИЭ, </w:t>
      </w:r>
      <w:r w:rsidRPr="00D50237">
        <w:rPr>
          <w:rFonts w:ascii="Garamond" w:eastAsia="Times New Roman" w:hAnsi="Garamond"/>
          <w:sz w:val="22"/>
          <w:szCs w:val="22"/>
        </w:rPr>
        <w:t>заключенным в отношении указанного объекта генерации</w:t>
      </w:r>
      <w:r w:rsidRPr="00D50237">
        <w:rPr>
          <w:rFonts w:ascii="Garamond" w:hAnsi="Garamond"/>
          <w:sz w:val="22"/>
          <w:szCs w:val="22"/>
        </w:rPr>
        <w:t>;</w:t>
      </w:r>
    </w:p>
    <w:p w14:paraId="41D810CC" w14:textId="77777777" w:rsidR="00A1681E" w:rsidRPr="00D50237" w:rsidRDefault="00A1681E" w:rsidP="00A1681E">
      <w:pPr>
        <w:pStyle w:val="aa"/>
        <w:numPr>
          <w:ilvl w:val="0"/>
          <w:numId w:val="4"/>
        </w:numPr>
        <w:spacing w:before="120" w:after="120" w:line="288" w:lineRule="auto"/>
        <w:ind w:left="1100"/>
        <w:jc w:val="both"/>
        <w:rPr>
          <w:rFonts w:ascii="Garamond" w:hAnsi="Garamond"/>
          <w:sz w:val="22"/>
          <w:szCs w:val="22"/>
        </w:rPr>
      </w:pPr>
      <w:r w:rsidRPr="00D50237">
        <w:rPr>
          <w:rFonts w:ascii="Garamond" w:hAnsi="Garamond"/>
          <w:sz w:val="22"/>
          <w:szCs w:val="22"/>
        </w:rPr>
        <w:t xml:space="preserve">в отношении указанного в пункте 2.1 настоящего Договора объекта генерации Должником в установленном Правилами оптового рынка и Договором о присоединении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 </w:t>
      </w:r>
    </w:p>
    <w:p w14:paraId="1909356F" w14:textId="55D2499D" w:rsidR="00A1681E" w:rsidRPr="00D50237" w:rsidRDefault="00A1681E" w:rsidP="00A1681E">
      <w:pPr>
        <w:pStyle w:val="aa"/>
        <w:numPr>
          <w:ilvl w:val="0"/>
          <w:numId w:val="4"/>
        </w:numPr>
        <w:spacing w:before="120" w:after="120" w:line="288" w:lineRule="auto"/>
        <w:ind w:left="1100" w:right="-27"/>
        <w:jc w:val="both"/>
        <w:rPr>
          <w:rFonts w:ascii="Garamond" w:hAnsi="Garamond"/>
          <w:sz w:val="22"/>
          <w:szCs w:val="22"/>
        </w:rPr>
      </w:pPr>
      <w:r w:rsidRPr="00D50237">
        <w:rPr>
          <w:rFonts w:ascii="Garamond" w:hAnsi="Garamond"/>
          <w:sz w:val="22"/>
          <w:szCs w:val="22"/>
        </w:rPr>
        <w:t xml:space="preserve">Должник не имеет задолженности по </w:t>
      </w:r>
      <w:r w:rsidR="00B31D77" w:rsidRPr="00D50237">
        <w:rPr>
          <w:rFonts w:ascii="Garamond" w:hAnsi="Garamond"/>
          <w:sz w:val="22"/>
          <w:szCs w:val="22"/>
        </w:rPr>
        <w:t>у</w:t>
      </w:r>
      <w:r w:rsidRPr="00D50237">
        <w:rPr>
          <w:rFonts w:ascii="Garamond" w:hAnsi="Garamond"/>
          <w:sz w:val="22"/>
          <w:szCs w:val="22"/>
        </w:rPr>
        <w:t>плате покупателям штрафов по ДПМ ВИЭ, заключенным в отношении указанного в пункте 2.1 настоящего Договора объекта генерации.</w:t>
      </w:r>
    </w:p>
    <w:p w14:paraId="11539634" w14:textId="77777777" w:rsidR="00A1681E" w:rsidRPr="00D50237" w:rsidRDefault="00A1681E" w:rsidP="00A1681E">
      <w:pPr>
        <w:widowControl w:val="0"/>
        <w:tabs>
          <w:tab w:val="left" w:pos="709"/>
        </w:tabs>
        <w:suppressAutoHyphens w:val="0"/>
        <w:spacing w:after="120" w:line="288" w:lineRule="auto"/>
        <w:ind w:left="720" w:right="-28" w:hanging="11"/>
        <w:jc w:val="both"/>
      </w:pPr>
      <w:r w:rsidRPr="00D50237">
        <w:t>В указанных в настоящем пункте случаях АО «АТС» направляет Сторонам в электронном виде с применением электронной подписи и ЦФР в порядке, предусмотренном Договором о присоединении, уведомление об одностороннем отказе и расторжении настоящего Договора.</w:t>
      </w:r>
    </w:p>
    <w:p w14:paraId="4EB6092E" w14:textId="77777777" w:rsidR="00A1681E" w:rsidRPr="00D50237" w:rsidRDefault="00A1681E" w:rsidP="00A1681E">
      <w:pPr>
        <w:pStyle w:val="aa"/>
        <w:widowControl w:val="0"/>
        <w:autoSpaceDE/>
        <w:autoSpaceDN/>
        <w:spacing w:before="120" w:after="120" w:line="288" w:lineRule="auto"/>
        <w:ind w:left="720" w:right="-28" w:hanging="11"/>
        <w:jc w:val="both"/>
        <w:rPr>
          <w:rFonts w:ascii="Garamond" w:hAnsi="Garamond"/>
          <w:sz w:val="22"/>
          <w:szCs w:val="22"/>
        </w:rPr>
      </w:pPr>
      <w:r w:rsidRPr="00D50237">
        <w:rPr>
          <w:rFonts w:ascii="Garamond" w:hAnsi="Garamond"/>
          <w:sz w:val="22"/>
          <w:szCs w:val="22"/>
        </w:rPr>
        <w:t>Настоящий Договор считается расторгнутым и обязательства по настоящему Договору прекращаются с даты, указанной в уведомлении об одностороннем отказе и расторжении настоящего Договора.</w:t>
      </w:r>
    </w:p>
    <w:p w14:paraId="388AFDB5"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ПОСЛЕДСТВИЯ РЕОРГАНИЗАЦИИ ДОЛЖНИКА</w:t>
      </w:r>
    </w:p>
    <w:p w14:paraId="4733D3FB" w14:textId="57EC20C4"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Настоящим Поручитель выражает свое согласие на установленных в настоящем Договоре условиях нести ответственность по </w:t>
      </w:r>
      <w:r w:rsidR="00B31D77" w:rsidRPr="00D50237">
        <w:rPr>
          <w:rFonts w:ascii="Garamond" w:hAnsi="Garamond"/>
          <w:sz w:val="22"/>
          <w:szCs w:val="22"/>
        </w:rPr>
        <w:t>у</w:t>
      </w:r>
      <w:r w:rsidRPr="00D50237">
        <w:rPr>
          <w:rFonts w:ascii="Garamond" w:hAnsi="Garamond"/>
          <w:sz w:val="22"/>
          <w:szCs w:val="22"/>
        </w:rPr>
        <w:t>плате неустоек (штрафов, пени), возникших из ДПМ ВИЭ, за любого нового должника, который возникнет в результате реорганизации Должника.</w:t>
      </w:r>
    </w:p>
    <w:p w14:paraId="2A582C1C" w14:textId="159FE7E1"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Поручитель не вправе возражать против перехода прав и обязанностей Должника по ДПМ ВИЭ правопреемнику (правопреемникам) Должника, возникшему </w:t>
      </w:r>
      <w:r w:rsidR="00B31D77" w:rsidRPr="00D50237">
        <w:rPr>
          <w:rFonts w:ascii="Garamond" w:hAnsi="Garamond"/>
          <w:sz w:val="22"/>
          <w:szCs w:val="22"/>
        </w:rPr>
        <w:t xml:space="preserve">(возникшим) </w:t>
      </w:r>
      <w:r w:rsidRPr="00D50237">
        <w:rPr>
          <w:rFonts w:ascii="Garamond" w:hAnsi="Garamond"/>
          <w:sz w:val="22"/>
          <w:szCs w:val="22"/>
        </w:rPr>
        <w:t>в результате реорганизации Должника (далее – новый Должник), со ссылкой на личность такого Должника, основание или на любые иные обстоятельства перехода прав и обязанностей по ДПМ ВИЭ.</w:t>
      </w:r>
    </w:p>
    <w:p w14:paraId="13A1058B"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В случае если по условиям реорганизации Должника на стороне нового Должника возникает множественность лиц, то все такие лица для целей исполнения настоящего Договора рассматриваются в качестве единственного и единого нового Должника вне зависимости от фактического распределения между ними прав и обязанностей по ДПМ ВИЭ, установленного условиями реорганизации Должника или условиями договора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35E5108" w14:textId="316CF920"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Настоящий Договор не прекращается </w:t>
      </w:r>
      <w:r w:rsidR="00B31D77" w:rsidRPr="00D50237">
        <w:rPr>
          <w:rFonts w:ascii="Garamond" w:hAnsi="Garamond"/>
          <w:sz w:val="22"/>
          <w:szCs w:val="22"/>
        </w:rPr>
        <w:t>и</w:t>
      </w:r>
      <w:r w:rsidRPr="00D50237">
        <w:rPr>
          <w:rFonts w:ascii="Garamond" w:hAnsi="Garamond"/>
          <w:sz w:val="22"/>
          <w:szCs w:val="22"/>
        </w:rPr>
        <w:t xml:space="preserve"> обязательства Поручителя по настоящему Договору не прекращаются и не прерываются в случае, если в течение срока действия настоящего Договора осуществляется переход прав и обязанностей Должника по ДПМ ВИЭ новому Должнику и при этом возникает перерыв в поставке мощности указанного в пункте 2.1 настоящего Договора объекта генерации по ДПМ ВИЭ, в частности, в период получения новым Должником статуса субъекта оптового рынка, в период получения им права продажи на оптовом рынке мощности указанного объекта генерации или по иным обстоятельствам. </w:t>
      </w:r>
    </w:p>
    <w:p w14:paraId="745767D6"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ОБМЕН ИНФОРМАЦИЕЙ</w:t>
      </w:r>
    </w:p>
    <w:p w14:paraId="583764F7"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Обмен информацией между Сторонами настоящего Договора осуществляется путем направления письменных уведомлений, заявлений, требований и иных документов простыми почтовыми отправлениями по адресам каждой из Сторон, указанным в настоящем Договоре, а также электронными сообщениями, в том числе с использованием электронной подписи на условиях и в порядке, установленном Договорами о присоединении.</w:t>
      </w:r>
      <w:r w:rsidRPr="00D50237">
        <w:rPr>
          <w:rFonts w:ascii="Garamond" w:hAnsi="Garamond"/>
          <w:sz w:val="22"/>
          <w:szCs w:val="22"/>
        </w:rPr>
        <w:tab/>
      </w:r>
    </w:p>
    <w:p w14:paraId="60294B0B"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Сообщения, содержащие информацию о наличии разногласий между Сторонами настоящего Договора по поводу толкования и (или) исполнения его условий, подлежат направлению почтовыми отправлениями с уведомлением о вручении или путем курьерской доставки либо при наличии согласия получателя сообщения электронным сообщением с использованием электронной подписи.</w:t>
      </w:r>
    </w:p>
    <w:p w14:paraId="2B30D3BE" w14:textId="77777777" w:rsidR="00A1681E" w:rsidRPr="00D50237" w:rsidRDefault="00A1681E" w:rsidP="00A1681E">
      <w:pPr>
        <w:pStyle w:val="aa"/>
        <w:widowControl w:val="0"/>
        <w:numPr>
          <w:ilvl w:val="1"/>
          <w:numId w:val="1"/>
        </w:numPr>
        <w:autoSpaceDE/>
        <w:autoSpaceDN/>
        <w:spacing w:before="120" w:after="120" w:line="288" w:lineRule="auto"/>
        <w:ind w:left="720" w:right="-28" w:hanging="720"/>
        <w:jc w:val="both"/>
        <w:rPr>
          <w:rFonts w:ascii="Garamond" w:hAnsi="Garamond"/>
          <w:sz w:val="22"/>
          <w:szCs w:val="22"/>
        </w:rPr>
      </w:pPr>
      <w:r w:rsidRPr="00D50237">
        <w:rPr>
          <w:rFonts w:ascii="Garamond" w:hAnsi="Garamond"/>
          <w:sz w:val="22"/>
          <w:szCs w:val="22"/>
        </w:rPr>
        <w:t>Письменные уведомления, заявления, требования или иные документы, содержащие информацию, относящуюся к иным по отношению к указанным в пункте 9.2 условиям исполнения настоящего Договора, направляются электронными сообщениями с использованием электронной подписи в порядке и в соответствии с правилами, установленными Договорами о присоединении.</w:t>
      </w:r>
    </w:p>
    <w:p w14:paraId="0B37E556" w14:textId="77777777" w:rsidR="00A1681E" w:rsidRPr="00D50237" w:rsidRDefault="00A1681E" w:rsidP="00A1681E">
      <w:pPr>
        <w:pStyle w:val="aa"/>
        <w:widowControl w:val="0"/>
        <w:numPr>
          <w:ilvl w:val="1"/>
          <w:numId w:val="1"/>
        </w:numPr>
        <w:autoSpaceDE/>
        <w:autoSpaceDN/>
        <w:spacing w:before="120" w:after="120" w:line="288" w:lineRule="auto"/>
        <w:ind w:left="720" w:right="-28" w:hanging="720"/>
        <w:jc w:val="both"/>
        <w:rPr>
          <w:rFonts w:ascii="Garamond" w:hAnsi="Garamond"/>
          <w:sz w:val="22"/>
          <w:szCs w:val="22"/>
        </w:rPr>
      </w:pPr>
      <w:r w:rsidRPr="00D50237">
        <w:rPr>
          <w:rFonts w:ascii="Garamond" w:hAnsi="Garamond"/>
          <w:sz w:val="22"/>
          <w:szCs w:val="22"/>
        </w:rPr>
        <w:t>Любое направленное Стороне настоящего Договора электронное сообщение с использованием электронной подписи по ее запросу может быть продублировано другой Стороной в форме простого почтового отправления либо почтового отправления с уведомлением о вручении или путем курьерской доставки.</w:t>
      </w:r>
      <w:r w:rsidRPr="00D50237">
        <w:rPr>
          <w:rFonts w:ascii="Garamond" w:hAnsi="Garamond"/>
          <w:sz w:val="22"/>
          <w:szCs w:val="22"/>
        </w:rPr>
        <w:tab/>
      </w:r>
    </w:p>
    <w:p w14:paraId="7A65C864"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Любые сообщения, связанные с исполнением настоящего Договора, направляются на имя лица, осуществляющего функции единоличного исполнительного органа Стороны настоящего Договора, или лица, его замещающего.</w:t>
      </w:r>
    </w:p>
    <w:p w14:paraId="2DC58E5A"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ПОРЯДОК ИЗМЕНЕНИЯ ДОГОВОРА</w:t>
      </w:r>
    </w:p>
    <w:p w14:paraId="0EF2ED70"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Настоящий Договор вступает в силу с момента его заключения Сторонами.</w:t>
      </w:r>
      <w:r w:rsidRPr="00D50237">
        <w:rPr>
          <w:rFonts w:ascii="Garamond" w:hAnsi="Garamond"/>
          <w:sz w:val="22"/>
          <w:szCs w:val="22"/>
        </w:rPr>
        <w:tab/>
      </w:r>
    </w:p>
    <w:p w14:paraId="188B93E4"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настоящий Договор изменяется и (или) дополняется АО «АТС» в одностороннем внесудебном порядке, кроме случаев, указанных в пункте 10.6 настоящего Договора. В этом случае Стороны при исполнении обязательств, принятых по настоящему Договору, будут руководствоваться положениями действующей (последней) редакции стандартной формы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с даты вступления ее в силу.</w:t>
      </w:r>
    </w:p>
    <w:p w14:paraId="3DB56021"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 xml:space="preserve">В случае внесения изменений и (или) дополнений в стандартную форму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АО «АТС» направляет Поручителю и Кредитору уведомление о внесении изменений и (или) дополнений в настоящий Договор в электронном виде с применением электронной подписи и (или) на бумажном носителе. </w:t>
      </w:r>
    </w:p>
    <w:p w14:paraId="7235A4B5"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В случае изменения реквизитов (номеров и дат подписания) Договора о присоединении АО «АТС» имеет право в одностороннем внесудебном порядке внести соответствующие изменения в настоящий Договор. АО «АТС» направляет Поручителю и Кредитору уведомления о внесении изменений и (или) дополнений в настоящий Договор в электронном виде с применением электронной подписи и (или) на бумажном носителе.</w:t>
      </w:r>
    </w:p>
    <w:p w14:paraId="0EFCA1FA"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Права и обязанности, вытекающие из изменений и (или) дополнений настоящего Договора, осуществленных в соответствии с настоящим пунктом, возникают с даты вступления в силу изменений и (или) дополнений в стандартную форму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являющуюся приложением к Договорам о присоединении.</w:t>
      </w:r>
    </w:p>
    <w:p w14:paraId="0CDEAECB" w14:textId="77777777" w:rsidR="00A1681E" w:rsidRPr="00D50237" w:rsidRDefault="00A1681E" w:rsidP="00A1681E">
      <w:pPr>
        <w:pStyle w:val="aa"/>
        <w:numPr>
          <w:ilvl w:val="1"/>
          <w:numId w:val="1"/>
        </w:numPr>
        <w:tabs>
          <w:tab w:val="left" w:pos="709"/>
        </w:tabs>
        <w:autoSpaceDE/>
        <w:autoSpaceDN/>
        <w:spacing w:before="120" w:after="120" w:line="288" w:lineRule="auto"/>
        <w:ind w:left="709" w:right="-27" w:hanging="720"/>
        <w:jc w:val="both"/>
        <w:rPr>
          <w:rFonts w:ascii="Garamond" w:hAnsi="Garamond"/>
          <w:sz w:val="22"/>
          <w:szCs w:val="22"/>
        </w:rPr>
      </w:pPr>
      <w:r w:rsidRPr="00D50237">
        <w:rPr>
          <w:rFonts w:ascii="Garamond" w:hAnsi="Garamond"/>
          <w:sz w:val="22"/>
          <w:szCs w:val="22"/>
        </w:rPr>
        <w:t>Внесение изменений в пункт 2.1 в части идентификации объекта генерации, а также в пункт 3.3 настоящего Договора осуществляется путем заключения Сторонами настоящего Договора дополнительных соглашений к настоящему Договору, подлежащих приложению к настоящему Договору и составляющих неотъемлемые его части.</w:t>
      </w:r>
    </w:p>
    <w:p w14:paraId="55E45359"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ЗАКЛЮЧИТЕЛЬНЫЕ ПОЛОЖЕНИЯ</w:t>
      </w:r>
    </w:p>
    <w:p w14:paraId="335E609D"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Любой спор по настоящему Договору, в том числе связанный с его заключением, действительностью в целом или в части отдельных его условий (положений), с исполнением, изменением или прекращением настоящего Договора, подлежит разрешению в судебном порядке только после соблюдения Сторонами претензионного порядка урегулирования споров в соответствии с Положением о претензионном (досудебном) порядке урегулирования споров, являющимся приложением к Договорам о присоединении.</w:t>
      </w:r>
    </w:p>
    <w:p w14:paraId="46AD345C"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Любой спор по настоящему Договору, в том числе связанный с его заключением, действительностью в целом или в части отдельных его условий (положений), с исполнением, изменением или прекращением настоящего Договора, подлежит разрешению в Арбитражном суде г. Москвы.</w:t>
      </w:r>
    </w:p>
    <w:p w14:paraId="7DBE98A4" w14:textId="77777777" w:rsidR="00A1681E" w:rsidRPr="00D50237" w:rsidRDefault="00A1681E" w:rsidP="00A1681E">
      <w:pPr>
        <w:pStyle w:val="aa"/>
        <w:numPr>
          <w:ilvl w:val="1"/>
          <w:numId w:val="1"/>
        </w:numPr>
        <w:autoSpaceDE/>
        <w:autoSpaceDN/>
        <w:spacing w:before="120" w:after="120" w:line="288" w:lineRule="auto"/>
        <w:ind w:left="720" w:right="-27" w:hanging="720"/>
        <w:jc w:val="both"/>
        <w:rPr>
          <w:rFonts w:ascii="Garamond" w:hAnsi="Garamond"/>
          <w:sz w:val="22"/>
          <w:szCs w:val="22"/>
        </w:rPr>
      </w:pPr>
      <w:r w:rsidRPr="00D50237">
        <w:rPr>
          <w:rFonts w:ascii="Garamond" w:hAnsi="Garamond"/>
          <w:sz w:val="22"/>
          <w:szCs w:val="22"/>
        </w:rPr>
        <w:t>Настоящий Договор заключается в форме электронного документа с использованием электронной подписи АО «АТС» и ЦФР, действующим на основании договоров коммерческого представительства, заключенных с Поручителем и Кредитором.</w:t>
      </w:r>
    </w:p>
    <w:p w14:paraId="13F2C903" w14:textId="77777777" w:rsidR="00A1681E" w:rsidRPr="00D50237" w:rsidRDefault="00A1681E" w:rsidP="00A1681E">
      <w:pPr>
        <w:pStyle w:val="aa"/>
        <w:numPr>
          <w:ilvl w:val="0"/>
          <w:numId w:val="1"/>
        </w:numPr>
        <w:autoSpaceDE/>
        <w:autoSpaceDN/>
        <w:spacing w:before="120" w:after="120" w:line="288" w:lineRule="auto"/>
        <w:ind w:right="-27"/>
        <w:jc w:val="center"/>
        <w:rPr>
          <w:rFonts w:ascii="Garamond" w:hAnsi="Garamond"/>
          <w:b/>
          <w:bCs/>
          <w:sz w:val="22"/>
          <w:szCs w:val="22"/>
        </w:rPr>
      </w:pPr>
      <w:r w:rsidRPr="00D50237">
        <w:rPr>
          <w:rFonts w:ascii="Garamond" w:hAnsi="Garamond"/>
          <w:b/>
          <w:bCs/>
          <w:sz w:val="22"/>
          <w:szCs w:val="22"/>
        </w:rPr>
        <w:t>РЕКВИЗИТЫ СТОРОН</w:t>
      </w:r>
    </w:p>
    <w:tbl>
      <w:tblPr>
        <w:tblW w:w="10173"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544"/>
        <w:gridCol w:w="3402"/>
      </w:tblGrid>
      <w:tr w:rsidR="00A1681E" w:rsidRPr="00D50237" w14:paraId="47E3A4BB" w14:textId="77777777" w:rsidTr="00A57BF9">
        <w:tc>
          <w:tcPr>
            <w:tcW w:w="3227" w:type="dxa"/>
          </w:tcPr>
          <w:p w14:paraId="64162E43" w14:textId="77777777" w:rsidR="00A1681E" w:rsidRPr="00D50237" w:rsidRDefault="00A1681E" w:rsidP="00A57BF9">
            <w:pPr>
              <w:spacing w:after="120" w:line="288" w:lineRule="auto"/>
              <w:jc w:val="center"/>
            </w:pPr>
            <w:r w:rsidRPr="00D50237">
              <w:t>Поручитель</w:t>
            </w:r>
          </w:p>
        </w:tc>
        <w:tc>
          <w:tcPr>
            <w:tcW w:w="3544" w:type="dxa"/>
          </w:tcPr>
          <w:p w14:paraId="41F9A6B1" w14:textId="77777777" w:rsidR="00A1681E" w:rsidRPr="00D50237" w:rsidRDefault="00A1681E" w:rsidP="00A57BF9">
            <w:pPr>
              <w:spacing w:after="120" w:line="288" w:lineRule="auto"/>
              <w:jc w:val="center"/>
            </w:pPr>
            <w:r w:rsidRPr="00D50237">
              <w:t>АО «АТС»</w:t>
            </w:r>
          </w:p>
        </w:tc>
        <w:tc>
          <w:tcPr>
            <w:tcW w:w="3402" w:type="dxa"/>
          </w:tcPr>
          <w:p w14:paraId="217CB2CA" w14:textId="77777777" w:rsidR="00A1681E" w:rsidRPr="00D50237" w:rsidRDefault="00A1681E" w:rsidP="00A57BF9">
            <w:pPr>
              <w:spacing w:after="120" w:line="288" w:lineRule="auto"/>
              <w:jc w:val="center"/>
            </w:pPr>
            <w:r w:rsidRPr="00D50237">
              <w:t>Кредитор</w:t>
            </w:r>
          </w:p>
        </w:tc>
      </w:tr>
    </w:tbl>
    <w:p w14:paraId="0333805D" w14:textId="77777777" w:rsidR="00A1681E" w:rsidRPr="00D50237" w:rsidRDefault="00A1681E" w:rsidP="00A1681E">
      <w:pPr>
        <w:keepNext/>
      </w:pPr>
    </w:p>
    <w:p w14:paraId="69D02EDF" w14:textId="77777777" w:rsidR="00DB06CB" w:rsidRPr="00D50237" w:rsidRDefault="00DB06CB">
      <w:bookmarkStart w:id="0" w:name="_GoBack"/>
      <w:bookmarkEnd w:id="0"/>
    </w:p>
    <w:sectPr w:rsidR="00DB06CB" w:rsidRPr="00D50237" w:rsidSect="002F7320">
      <w:headerReference w:type="default" r:id="rId7"/>
      <w:footerReference w:type="even" r:id="rId8"/>
      <w:footerReference w:type="default" r:id="rId9"/>
      <w:headerReference w:type="first" r:id="rId10"/>
      <w:pgSz w:w="11906" w:h="16838"/>
      <w:pgMar w:top="1134" w:right="851" w:bottom="902" w:left="1361" w:header="709" w:footer="5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DC76B" w14:textId="77777777" w:rsidR="009B28BF" w:rsidRDefault="009B28BF" w:rsidP="00DB5A10">
      <w:pPr>
        <w:spacing w:before="0"/>
      </w:pPr>
      <w:r>
        <w:separator/>
      </w:r>
    </w:p>
  </w:endnote>
  <w:endnote w:type="continuationSeparator" w:id="0">
    <w:p w14:paraId="0A166884" w14:textId="77777777" w:rsidR="009B28BF" w:rsidRDefault="009B28BF" w:rsidP="00DB5A1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1FD24" w14:textId="77777777" w:rsidR="0014352C" w:rsidRDefault="00C778B1" w:rsidP="00441A09">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7EE94297" w14:textId="77777777" w:rsidR="0014352C" w:rsidRDefault="0014352C" w:rsidP="00B23D0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DA49C" w14:textId="11EAA22C" w:rsidR="0014352C" w:rsidRPr="00F1729A" w:rsidRDefault="00C778B1" w:rsidP="00441A09">
    <w:pPr>
      <w:pStyle w:val="a6"/>
      <w:framePr w:wrap="around" w:vAnchor="text" w:hAnchor="margin" w:xAlign="right" w:y="1"/>
      <w:rPr>
        <w:rStyle w:val="a3"/>
      </w:rPr>
    </w:pPr>
    <w:r w:rsidRPr="00F1729A">
      <w:rPr>
        <w:rStyle w:val="a3"/>
      </w:rPr>
      <w:fldChar w:fldCharType="begin"/>
    </w:r>
    <w:r w:rsidRPr="00F1729A">
      <w:rPr>
        <w:rStyle w:val="a3"/>
      </w:rPr>
      <w:instrText xml:space="preserve">PAGE  </w:instrText>
    </w:r>
    <w:r w:rsidRPr="00F1729A">
      <w:rPr>
        <w:rStyle w:val="a3"/>
      </w:rPr>
      <w:fldChar w:fldCharType="separate"/>
    </w:r>
    <w:r w:rsidR="00D50237">
      <w:rPr>
        <w:rStyle w:val="a3"/>
        <w:noProof/>
      </w:rPr>
      <w:t>8</w:t>
    </w:r>
    <w:r w:rsidRPr="00F1729A">
      <w:rPr>
        <w:rStyle w:val="a3"/>
      </w:rPr>
      <w:fldChar w:fldCharType="end"/>
    </w:r>
  </w:p>
  <w:p w14:paraId="78C0E31D" w14:textId="77777777" w:rsidR="0014352C" w:rsidRDefault="0014352C" w:rsidP="00B23D07">
    <w:pPr>
      <w:pStyle w:val="a6"/>
      <w:pBdr>
        <w:top w:val="single" w:sz="4" w:space="1" w:color="auto"/>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3DF6C" w14:textId="77777777" w:rsidR="009B28BF" w:rsidRDefault="009B28BF" w:rsidP="00DB5A10">
      <w:pPr>
        <w:spacing w:before="0"/>
      </w:pPr>
      <w:r>
        <w:separator/>
      </w:r>
    </w:p>
  </w:footnote>
  <w:footnote w:type="continuationSeparator" w:id="0">
    <w:p w14:paraId="12F5B8ED" w14:textId="77777777" w:rsidR="009B28BF" w:rsidRDefault="009B28BF" w:rsidP="00DB5A1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81F26" w14:textId="66A474A4" w:rsidR="0014352C" w:rsidRDefault="00C778B1" w:rsidP="00441A09">
    <w:pPr>
      <w:pBdr>
        <w:bottom w:val="single" w:sz="4" w:space="1" w:color="auto"/>
      </w:pBdr>
      <w:spacing w:after="120" w:line="288" w:lineRule="auto"/>
      <w:jc w:val="right"/>
      <w:rPr>
        <w:i/>
        <w:sz w:val="18"/>
        <w:szCs w:val="18"/>
      </w:rPr>
    </w:pPr>
    <w:r>
      <w:rPr>
        <w:i/>
        <w:sz w:val="18"/>
        <w:szCs w:val="18"/>
      </w:rPr>
      <w:t>Стандартная форма Д</w:t>
    </w:r>
    <w:r w:rsidRPr="00441A09">
      <w:rPr>
        <w:i/>
        <w:sz w:val="18"/>
        <w:szCs w:val="18"/>
      </w:rPr>
      <w:t>оговор</w:t>
    </w:r>
    <w:r>
      <w:rPr>
        <w:i/>
        <w:sz w:val="18"/>
        <w:szCs w:val="18"/>
      </w:rPr>
      <w:t>а</w:t>
    </w:r>
    <w:r w:rsidRPr="00441A09">
      <w:rPr>
        <w:i/>
        <w:sz w:val="18"/>
        <w:szCs w:val="18"/>
      </w:rPr>
      <w:t xml:space="preserve">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EC3B7D">
      <w:rPr>
        <w:i/>
        <w:sz w:val="18"/>
        <w:szCs w:val="18"/>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E28BD" w14:textId="38E83D6C" w:rsidR="0014352C" w:rsidRDefault="00C778B1" w:rsidP="00441A09">
    <w:pPr>
      <w:pStyle w:val="a4"/>
      <w:pBdr>
        <w:bottom w:val="single" w:sz="4" w:space="1" w:color="auto"/>
      </w:pBdr>
      <w:jc w:val="right"/>
    </w:pPr>
    <w:r>
      <w:rPr>
        <w:i/>
        <w:sz w:val="18"/>
        <w:szCs w:val="18"/>
      </w:rPr>
      <w:t>Стандартная форма Д</w:t>
    </w:r>
    <w:r w:rsidRPr="00441A09">
      <w:rPr>
        <w:i/>
        <w:sz w:val="18"/>
        <w:szCs w:val="18"/>
      </w:rPr>
      <w:t>оговор</w:t>
    </w:r>
    <w:r>
      <w:rPr>
        <w:i/>
        <w:sz w:val="18"/>
        <w:szCs w:val="18"/>
      </w:rPr>
      <w:t>а</w:t>
    </w:r>
    <w:r w:rsidRPr="00441A09">
      <w:rPr>
        <w:i/>
        <w:sz w:val="18"/>
        <w:szCs w:val="18"/>
      </w:rPr>
      <w:t xml:space="preserve">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DF3036">
      <w:rPr>
        <w:i/>
        <w:sz w:val="18"/>
        <w:szCs w:val="18"/>
      </w:rPr>
      <w:t xml:space="preserve"> </w:t>
    </w:r>
    <w:r w:rsidRPr="00EC3B7D">
      <w:rPr>
        <w:i/>
        <w:sz w:val="18"/>
        <w:szCs w:val="18"/>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6657"/>
    <w:multiLevelType w:val="hybridMultilevel"/>
    <w:tmpl w:val="E9D05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D242C1"/>
    <w:multiLevelType w:val="hybridMultilevel"/>
    <w:tmpl w:val="760644BA"/>
    <w:lvl w:ilvl="0" w:tplc="91E220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975557E"/>
    <w:multiLevelType w:val="hybridMultilevel"/>
    <w:tmpl w:val="2A2E8278"/>
    <w:lvl w:ilvl="0" w:tplc="E108B524">
      <w:start w:val="1"/>
      <w:numFmt w:val="russianLower"/>
      <w:lvlText w:val="%1)"/>
      <w:lvlJc w:val="left"/>
      <w:pPr>
        <w:tabs>
          <w:tab w:val="num" w:pos="2520"/>
        </w:tabs>
        <w:ind w:left="3240" w:hanging="360"/>
      </w:pPr>
      <w:rPr>
        <w:rFonts w:hint="default"/>
      </w:rPr>
    </w:lvl>
    <w:lvl w:ilvl="1" w:tplc="E108B524">
      <w:start w:val="1"/>
      <w:numFmt w:val="russianLower"/>
      <w:lvlText w:val="%2)"/>
      <w:lvlJc w:val="left"/>
      <w:pPr>
        <w:tabs>
          <w:tab w:val="num" w:pos="72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7BE4DD5"/>
    <w:multiLevelType w:val="multilevel"/>
    <w:tmpl w:val="92D8D96C"/>
    <w:lvl w:ilvl="0">
      <w:start w:val="1"/>
      <w:numFmt w:val="decimal"/>
      <w:lvlText w:val="%1."/>
      <w:lvlJc w:val="left"/>
      <w:pPr>
        <w:ind w:left="360" w:hanging="360"/>
      </w:pPr>
    </w:lvl>
    <w:lvl w:ilvl="1">
      <w:start w:val="1"/>
      <w:numFmt w:val="decimal"/>
      <w:lvlText w:val="%1.%2."/>
      <w:lvlJc w:val="left"/>
      <w:pPr>
        <w:ind w:left="792" w:hanging="432"/>
      </w:pPr>
      <w:rPr>
        <w:rFonts w:ascii="Garamond" w:hAnsi="Garamond"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81E"/>
    <w:rsid w:val="000848DD"/>
    <w:rsid w:val="000F1435"/>
    <w:rsid w:val="0014352C"/>
    <w:rsid w:val="001A1C43"/>
    <w:rsid w:val="0033205E"/>
    <w:rsid w:val="0035089F"/>
    <w:rsid w:val="00524D09"/>
    <w:rsid w:val="007033D9"/>
    <w:rsid w:val="007C10DD"/>
    <w:rsid w:val="008112D5"/>
    <w:rsid w:val="008658B2"/>
    <w:rsid w:val="00880986"/>
    <w:rsid w:val="008C7BBD"/>
    <w:rsid w:val="008F0E33"/>
    <w:rsid w:val="009B28BF"/>
    <w:rsid w:val="009D13E3"/>
    <w:rsid w:val="009E4C2E"/>
    <w:rsid w:val="00A1681E"/>
    <w:rsid w:val="00B31D77"/>
    <w:rsid w:val="00C778B1"/>
    <w:rsid w:val="00D50237"/>
    <w:rsid w:val="00DB06CB"/>
    <w:rsid w:val="00DB5A10"/>
    <w:rsid w:val="00DD01BD"/>
    <w:rsid w:val="00E23D2D"/>
    <w:rsid w:val="00EB40AA"/>
    <w:rsid w:val="00EC4056"/>
    <w:rsid w:val="00F53495"/>
    <w:rsid w:val="00FE1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BE4E3"/>
  <w15:chartTrackingRefBased/>
  <w15:docId w15:val="{603C3CA0-19B6-4799-910D-F558B70EF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81E"/>
    <w:pPr>
      <w:suppressAutoHyphens/>
      <w:spacing w:before="120" w:after="0" w:line="240" w:lineRule="auto"/>
    </w:pPr>
    <w:rPr>
      <w:rFonts w:ascii="Garamond" w:eastAsia="Batang" w:hAnsi="Garamond" w:cs="Garamond"/>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A1681E"/>
    <w:rPr>
      <w:rFonts w:cs="Times New Roman"/>
    </w:rPr>
  </w:style>
  <w:style w:type="paragraph" w:styleId="a4">
    <w:name w:val="header"/>
    <w:basedOn w:val="a"/>
    <w:link w:val="a5"/>
    <w:uiPriority w:val="99"/>
    <w:rsid w:val="00A1681E"/>
    <w:pPr>
      <w:tabs>
        <w:tab w:val="center" w:pos="4320"/>
        <w:tab w:val="right" w:pos="8640"/>
      </w:tabs>
    </w:pPr>
  </w:style>
  <w:style w:type="character" w:customStyle="1" w:styleId="a5">
    <w:name w:val="Верхний колонтитул Знак"/>
    <w:basedOn w:val="a0"/>
    <w:link w:val="a4"/>
    <w:uiPriority w:val="99"/>
    <w:rsid w:val="00A1681E"/>
    <w:rPr>
      <w:rFonts w:ascii="Garamond" w:eastAsia="Batang" w:hAnsi="Garamond" w:cs="Garamond"/>
      <w:lang w:eastAsia="ar-SA"/>
    </w:rPr>
  </w:style>
  <w:style w:type="paragraph" w:styleId="a6">
    <w:name w:val="footer"/>
    <w:basedOn w:val="a"/>
    <w:link w:val="a7"/>
    <w:uiPriority w:val="99"/>
    <w:rsid w:val="00A1681E"/>
    <w:pPr>
      <w:tabs>
        <w:tab w:val="center" w:pos="4320"/>
        <w:tab w:val="right" w:pos="8640"/>
      </w:tabs>
    </w:pPr>
  </w:style>
  <w:style w:type="character" w:customStyle="1" w:styleId="a7">
    <w:name w:val="Нижний колонтитул Знак"/>
    <w:basedOn w:val="a0"/>
    <w:link w:val="a6"/>
    <w:uiPriority w:val="99"/>
    <w:rsid w:val="00A1681E"/>
    <w:rPr>
      <w:rFonts w:ascii="Garamond" w:eastAsia="Batang" w:hAnsi="Garamond" w:cs="Garamond"/>
      <w:lang w:eastAsia="ar-SA"/>
    </w:rPr>
  </w:style>
  <w:style w:type="paragraph" w:customStyle="1" w:styleId="a8">
    <w:basedOn w:val="a"/>
    <w:next w:val="a9"/>
    <w:uiPriority w:val="99"/>
    <w:qFormat/>
    <w:rsid w:val="00A1681E"/>
    <w:pPr>
      <w:jc w:val="center"/>
    </w:pPr>
    <w:rPr>
      <w:b/>
      <w:bCs/>
      <w:sz w:val="32"/>
      <w:szCs w:val="32"/>
    </w:rPr>
  </w:style>
  <w:style w:type="paragraph" w:styleId="aa">
    <w:name w:val="List Paragraph"/>
    <w:basedOn w:val="a"/>
    <w:uiPriority w:val="34"/>
    <w:qFormat/>
    <w:rsid w:val="00A1681E"/>
    <w:pPr>
      <w:suppressAutoHyphens w:val="0"/>
      <w:autoSpaceDE w:val="0"/>
      <w:autoSpaceDN w:val="0"/>
      <w:spacing w:before="0"/>
      <w:ind w:left="708"/>
    </w:pPr>
    <w:rPr>
      <w:rFonts w:ascii="Times New Roman" w:hAnsi="Times New Roman" w:cs="Times New Roman"/>
      <w:sz w:val="24"/>
      <w:szCs w:val="24"/>
      <w:lang w:eastAsia="ru-RU"/>
    </w:rPr>
  </w:style>
  <w:style w:type="paragraph" w:styleId="a9">
    <w:name w:val="Subtitle"/>
    <w:basedOn w:val="a"/>
    <w:next w:val="a"/>
    <w:link w:val="ab"/>
    <w:uiPriority w:val="11"/>
    <w:qFormat/>
    <w:rsid w:val="00A1681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b">
    <w:name w:val="Подзаголовок Знак"/>
    <w:basedOn w:val="a0"/>
    <w:link w:val="a9"/>
    <w:uiPriority w:val="11"/>
    <w:rsid w:val="00A1681E"/>
    <w:rPr>
      <w:rFonts w:eastAsiaTheme="minorEastAsia"/>
      <w:color w:val="5A5A5A" w:themeColor="text1" w:themeTint="A5"/>
      <w:spacing w:val="15"/>
      <w:lang w:eastAsia="ar-SA"/>
    </w:rPr>
  </w:style>
  <w:style w:type="paragraph" w:styleId="ac">
    <w:name w:val="Balloon Text"/>
    <w:basedOn w:val="a"/>
    <w:link w:val="ad"/>
    <w:uiPriority w:val="99"/>
    <w:semiHidden/>
    <w:unhideWhenUsed/>
    <w:rsid w:val="00DB5A10"/>
    <w:pPr>
      <w:spacing w:before="0"/>
    </w:pPr>
    <w:rPr>
      <w:rFonts w:ascii="Segoe UI" w:hAnsi="Segoe UI" w:cs="Segoe UI"/>
      <w:sz w:val="18"/>
      <w:szCs w:val="18"/>
    </w:rPr>
  </w:style>
  <w:style w:type="character" w:customStyle="1" w:styleId="ad">
    <w:name w:val="Текст выноски Знак"/>
    <w:basedOn w:val="a0"/>
    <w:link w:val="ac"/>
    <w:uiPriority w:val="99"/>
    <w:semiHidden/>
    <w:rsid w:val="00DB5A10"/>
    <w:rPr>
      <w:rFonts w:ascii="Segoe UI" w:eastAsia="Batang"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7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4034</Words>
  <Characters>22998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Павлычева Анна Игоревна</dc:creator>
  <cp:keywords/>
  <dc:description/>
  <cp:lastModifiedBy>Пряхина Ирина Игоревна</cp:lastModifiedBy>
  <cp:revision>6</cp:revision>
  <dcterms:created xsi:type="dcterms:W3CDTF">2024-10-18T17:31:00Z</dcterms:created>
  <dcterms:modified xsi:type="dcterms:W3CDTF">2024-10-21T19:30:00Z</dcterms:modified>
</cp:coreProperties>
</file>