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32" w:rsidRDefault="00577832" w:rsidP="00577832">
      <w:pPr>
        <w:spacing w:line="240" w:lineRule="auto"/>
      </w:pPr>
      <w:r>
        <w:t>Вступает в силу по истечении 10 дней после дня официального опубликования.</w:t>
      </w:r>
    </w:p>
    <w:p w:rsidR="00577832" w:rsidRDefault="00577832" w:rsidP="00577832">
      <w:pPr>
        <w:spacing w:line="240" w:lineRule="auto"/>
      </w:pPr>
      <w:r>
        <w:t>Зарегистрировано в Минюсте РФ 11 апреля 2011 г. N 20448</w:t>
      </w:r>
    </w:p>
    <w:p w:rsid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СЛУЖБА ПО ТАРИФАМ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 марта 2011 г. N 73-э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ОПРЕДЕЛЕНИЯ ЦЕНЫ НА МОЩНОСТЬ ГЕНЕРИРУЮЩИХ ОБЪЕКТОВ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 ОПТОВОГО РЫНКА ЭЛЕКТРИЧЕСКОЙ ЭНЕРГИИ (МОЩНОСТИ),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 ЗАКЛЮЧИЛИ ДОГОВОРЫ О ПРЕДОСТАВЛЕНИИ МОЩНОСТИ,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НЕ ВВЕЛИ В ЭКСПЛУАТАЦИЮ ХОТЯ БЫ ОДИН ИЗ УКАЗАННЫХ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ДОГОВОРЕ ГЕНЕРИРУЮЩИХ ОБЪЕКТОВ В ТЕЧЕНИЕ БОЛЕЕ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12 КАЛЕНДАРНЫХ МЕСЯЦЕВ ПО ОКОНЧАНИИ СРОКА,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УСТАНОВЛЕННОГО</w:t>
      </w:r>
      <w:proofErr w:type="gramEnd"/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ДОГОВОРЕ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24 февраля 2010 г. N 89 "О некоторых вопросах организации долгосрочного отбора мощности на конкурентной основе на оптовом рынке электрической энергии (мощности)" (Собрание законодательства Российской Федерации, 2010, N 15, ст. 1803) приказываю: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определения цены на мощность генерирующих объектов участников оптового рынка электрической энергии (мощности), которые заключили договоры о предоставлении мощности, но не ввели в эксплуатацию хотя бы один из указанных в договоре генерирующих объектов в течение более чем 12 календарных месяцев по окончании срока, установленного в договоре.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в установленном порядке.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тарифам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С.НОВИКОВ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ФСТ России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 марта 2011 г. N 73-э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ОПРЕДЕЛЕНИЯ ЦЕНЫ НА МОЩНОСТЬ ГЕНЕРИРУЮЩИХ ОБЪЕКТОВ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 ОПТОВОГО РЫНКА ЭЛЕКТРИЧЕСКОЙ ЭНЕРГИИ (МОЩНОСТИ),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 ЗАКЛЮЧИЛИ ДОГОВОРЫ О ПРЕДОСТАВЛЕНИИ МОЩНОСТИ,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НЕ ВВЕЛИ В ЭКСПЛУАТАЦИЮ ХОТЯ БЫ ОДИН ИЗ УКАЗАННЫХ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ДОГОВОРЕ ГЕНЕРИРУЮЩИХ ОБЪЕКТОВ В ТЕЧЕНИЕ БОЛЕЕ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12 КАЛЕНДАРНЫХ МЕСЯЦЕВ ПО ОКОНЧАНИИ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СРОКА, УСТАНОВЛЕННОГО В ДОГОВОРЕ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определения цены на мощность генерирующих объектов участников оптового рынка электрической энергии (мощности), которые заключили договоры о предоставлении мощности, но не ввели в эксплуатацию хотя бы один из указанных в договоре генерирующих </w:t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объектов в течение более чем 12 календарных месяцев по окончании срока, установленного в договоре (далее - Порядок), разработан в соответствии с Постановлением Правительства Российской Федерации от 24 февраля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г. N 89 "О некоторых вопросах организации долгосрочного отбора мощности на конкурентной основе на оптовом рынке электрической энергии (мощности)" (Собрание законодательства Российской Федерации, 2010, N 15, ст. 1803), а также на основании Федерального закона от 26 марта 2003 г. N 35-ФЗ "Об электроэнергетике" (Собрание законодательства Российской Федерации, 2003, N 13, ст. 1177;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2004, N 35, ст. 3607; 2005, N 1 (часть I), ст. 37; 2006, N 52 (часть I), ст. 5498; 2007, N 45, ст. 5427; 2008, N 29 (часть I), ст. 3418; N 52 (часть I), ст. 6236; 2009, N 48, ст. 5711; 2010, N 11, ст. 1175, N 31, ст. 4156, N 31, ст. 4157, N 31, ст. 4158, N 31, ст. 4160;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2011, N 1, ст. 13, N 7, ст. 905) (далее - Закон об электроэнергетике), Правил оптового рынка электрической энергии (мощности) переходного периода, утвержденных Постановлением Правительства Российской Федерации от 24 октября 2003 г. N 643 (Собрание законодательства Российской Федерации, 2003, N 44, ст. 4312; 2005, N 7, ст. 560; N 8, ст. 658;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17, ст. 1554; N 43, ст. 4401; N 46, ст. 4677; N 47, ст. 4930; 2006, N 36, ст. 3835; 2007, N 1 (часть II), ст. 282; N 16, ст. 1909; 2008, N 2, ст. 84; N 3, ст. 182; N 27, ст. 3285; 2009, N 9, ст. 1103;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2822; N 32, ст. 4040; N 38, ст. 4479; N 43, ст. 5066; N 46, ст. 5500; N 47, ст. 5667; N 52 (часть I), ст. 6575; 2010, N 15, ст. 1803; N 12, ст. 1333; N 11, ст. 1216; N 18, ст. 2239; N 21, ст. 2610;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23, ст. 2848; N 25, ст. 3175; N 37, ст. 4708; N 40, ст. 5071; N 49, ст. 6511;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2011, N 3, ст. 541) (далее - Правила оптового рынка),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 (Собрание законодательства Российской Федерации, 2004, N 9, ст. 791; 2005, N 1 (часть II), ст. 130; N 43, ст. 4401;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N 47, ст. 4930; N 51, ст. 5526; 2006, N 23, ст. 2522; N 36, ст. 3835; N 37, ст. 3876; 2007, N 1 (часть II), ст. 282; N 14, ст. 1687; N 16, ст. 1909; 2008, N 2, ст. 84; N 25, ст. 2989; N 27, ст. 3285; 2009, N 8, ст. 980;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N 8, ст. 981; N 8, ст. 982; N 12, ст. 1429; N 25, ст. 3073; N 26, ст. 3188; N 32, ст. 4040; N 38, ст. 4479; N 38, ст. 4494; N 52 (часть I), ст. 6575; 2010, N 12, ст. 1333; N 15, ст. 1808; N 21, ст. 2610;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23, ст. 2837; N 37, ст. 4685, ст. 4708;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N 40, ст. 5102) (далее - Основы ценообразования), Правил расчета составляющей цены на мощность, обеспечивающей возврат капитальных и эксплуатационных затрат, утвержденных Постановлением Правительства Российской Федерации от 13 апреля 2010 г. N 238 (Собрание законодательства Российской Федерации, 2010, N 16, ст. 1922, N 42, ст. 5397) (далее - Правила расчета составляющей цены на мощность).</w:t>
      </w:r>
      <w:proofErr w:type="gramEnd"/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предназначен для использования Федеральной службой по тарифам (далее - Служба), коммерческим оператором оптового рынка, участниками оптового рынка электрической энергии (мощности), которые заключили договоры о предоставлении мощности, но не ввели в эксплуатацию хотя бы один из указанных в договоре генерирующих объектов в течение более чем 12 календарных месяцев по окончании срока, установленного в договоре (далее - Поставщики), и определяет порядок определения цены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мощность генерирующих объектов участников оптового рынка электрической энергии (мощности), которые заключили договоры о предоставлении мощности, но не ввели в эксплуатацию хотя бы один из указанных в договоре генерирующих объектов в течение более чем 12 календарных месяцев по окончании срока, установленного в договоре (далее - Цена на мощность).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методологические положения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цены на мощность генерирующих объектов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оптового рынка электрической энергии (мощности),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заключили договоры о предоставлении мощности,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ввели в эксплуатацию хотя бы один из указанных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генерирующих объектов в течение более чем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12 календарных месяцев по окончании срока,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договоре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Цены на мощность в соответствии с настоящим Порядком производится с учетом величины прогнозируемого дохода от продажи электрической энергии при проведении конкурентного отбора ценовых заявок на сутки вперед и размера денежных средств, полученных генерирующими </w:t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компаниями оптового рынка электрической энергии (мощности) (за исключением оптовой генерирующей компании, которая создана в результате реорганизации дочерних и зависимых акционерных обществ Российского открытого акционерного общества энергетики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электрификации "Единая энергетическая система России" и в уставный капитал которой переданы генерирующие объекты гидроэлектростанций) в результате первичного размещения ими акций или размещения акций дополнительных выпусков в соответствии с решениями, принятыми органами управления Российского открытого акционерного общества энергетики и электрификации "Единая энергетическая система России" (далее - денежные средства, полученные в результате размещения акций).</w:t>
      </w:r>
      <w:proofErr w:type="gramEnd"/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на мощность определяется для генерирующих объектов (за исключением осуществляющих поставку мощности по договорам поставки мощности), отнесенных на 1 января 2010 г. к группам точек поставки, зарегистрированным за Поставщиком, путем снижения объема расходов Поставщика на содержание мощности, рассчитанного исходя из цены и объемов продажи мощности Поставщиком в году, на который устанавливается цена на мощность (далее - расчетный год), на величины, определенные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Порядком.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цене продажи мощности Поставщиком по итогам конкурентного отбора мощности в расчетном году определяется на основании информации, предоставляемой системным оператором.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денежных средств, полученных в результате размещения акций, для целей расчета Цены на мощность определяется с учетом возможности размещения указанных денежных средств на банковский вклад. В качестве доходности банковского вклада используется величина, соответствующая базовому уровню нормы доходности инвестированного капитала, установленному Правилами расчета составляющей цены на мощность в размере 14%.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денежных средств, полученных в результате размещения акций, определяется на основании информации, предоставляемой Министерством экономического развития Российской Федерации.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строительства всех генерирующих объектов, указанных в договоре о предоставлении мощности, и перечень объектов, в отношении которых нарушаются сроки ввода в эксплуатацию, определяется на основании информации, предоставляемой Министерством энергетики Российской Федерации.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Расчет цены на мощность генерирующих объектов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оптового рынка электрической энергии (мощности),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заключили договоры о предоставлении мощности,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ввели в эксплуатацию хотя бы один из указанных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генерирующих объектов в течение более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12 календарных месяцев по окончании срока,</w:t>
      </w:r>
    </w:p>
    <w:p w:rsidR="00577832" w:rsidRPr="00577832" w:rsidRDefault="00577832" w:rsidP="005778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договоре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Расчет Цены на мощность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640" cy="337820"/>
            <wp:effectExtent l="19050" t="0" r="0" b="0"/>
            <wp:docPr id="1" name="Рисунок 1" descr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руб./МВт в мес., производится по формуле: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9465" cy="387350"/>
            <wp:effectExtent l="19050" t="0" r="0" b="0"/>
            <wp:docPr id="2" name="Рисунок 2" descr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, (1)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980" cy="318135"/>
            <wp:effectExtent l="19050" t="0" r="0" b="0"/>
            <wp:docPr id="3" name="Рисунок 3" descr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цена продажи мощности j-ого генерирующего объекта в </w:t>
      </w:r>
      <w:proofErr w:type="spell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i-ом</w:t>
      </w:r>
      <w:proofErr w:type="spell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определенная по формуле (2), или установленная ФСТ России цена на мощность, производимую с использованием генерирующего объекта, поставляющего мощность и электрическую энергию в вынужденном режиме, или цена на мощность для генерирующего объекта, в отношении которого была указана наиболее высокая цена в ценовых заявках на конкурентный отбор мощности, руб./МВт в мес.;</w:t>
      </w:r>
      <w:proofErr w:type="gramEnd"/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60395" cy="347980"/>
            <wp:effectExtent l="19050" t="0" r="1905" b="0"/>
            <wp:docPr id="4" name="Рисунок 4" descr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6510" cy="735330"/>
            <wp:effectExtent l="19050" t="0" r="2540" b="0"/>
            <wp:docPr id="5" name="Рисунок 5" descr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915" cy="318135"/>
            <wp:effectExtent l="19050" t="0" r="635" b="0"/>
            <wp:docPr id="6" name="Рисунок 6" descr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ввода в эксплуатацию j-го генерирующего объекта, указанный в договоре о предоставлении мощности;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105" cy="318135"/>
            <wp:effectExtent l="19050" t="0" r="4445" b="0"/>
            <wp:docPr id="7" name="Рисунок 7" descr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цена мощности, определенная для j-ого генерирующего объекта по результатам конкурентного отбора мощности на соответствующий период регулирования;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825" cy="337820"/>
            <wp:effectExtent l="19050" t="0" r="3175" b="0"/>
            <wp:docPr id="8" name="Рисунок 8" descr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цена на электрическую энергию для j-того генерирующего объекта на </w:t>
      </w:r>
      <w:proofErr w:type="spell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определяемая исходя из прямых расходов на производство электрической энергии по формуле (4);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420" cy="347980"/>
            <wp:effectExtent l="19050" t="0" r="5080" b="0"/>
            <wp:docPr id="9" name="Рисунок 9" descr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плановая равновесная цена в группе точек поставки j-того генерирующего объекта в i-том году, определяемая на основании фактических равновесных цен, сложившихся по итогам конкурентного отбора ценовых заявок на сутки вперед в группе точек поставки j-того генерирующего объекта в текущем периоде регулирования, и информации об основных макроэкономических показателях прогноза социально-экономического развития Российской Федерации на </w:t>
      </w:r>
      <w:proofErr w:type="spell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а также информации, представляемой коммерческим оператором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оптового рынка, советом рынка;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730" cy="347980"/>
            <wp:effectExtent l="19050" t="0" r="7620" b="0"/>
            <wp:docPr id="10" name="Рисунок 10" descr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плановый объем продажи по итогам конкурентного отбора ценовых заявок на сутки вперед j-м генерирующим объектом в i-том году электрической энергии, определяемый по формуле (5).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1950" cy="645795"/>
            <wp:effectExtent l="19050" t="0" r="0" b="0"/>
            <wp:docPr id="11" name="Рисунок 11" descr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450" cy="318135"/>
            <wp:effectExtent l="19050" t="0" r="6350" b="0"/>
            <wp:docPr id="12" name="Рисунок 12" descr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топливо на технологические цели j-того генерирующего объекта в i-том году, определяемые в соответствии с пунктом 22 Основ ценообразования;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040" cy="337820"/>
            <wp:effectExtent l="19050" t="0" r="0" b="0"/>
            <wp:docPr id="13" name="Рисунок 13" descr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тариф на услуги коммерческого оператора оптового рынка в i-м году;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5335" cy="337820"/>
            <wp:effectExtent l="19050" t="0" r="5715" b="0"/>
            <wp:docPr id="14" name="Рисунок 14" descr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 3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5330" cy="337820"/>
            <wp:effectExtent l="19050" t="0" r="7620" b="0"/>
            <wp:docPr id="15" name="Рисунок 15" descr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объемы выработки и потребления электрической энергии на собственные нужды j-того генерирующего объекта в i-том году, учтенные в сводном балансе i-того года. В случае если в составе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5330" cy="337820"/>
            <wp:effectExtent l="19050" t="0" r="7620" b="0"/>
            <wp:docPr id="16" name="Рисунок 16" descr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 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 расход электрической энергии на осуществление деятельности, не связанной с производством электрической и тепловой энергии, для расчета цены на электрическую энергию объем собственного потребления электрической энергии уменьшается на величину такого расхода.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06825" cy="387350"/>
            <wp:effectExtent l="19050" t="0" r="3175" b="0"/>
            <wp:docPr id="17" name="Рисунок 17" descr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 4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425" cy="347980"/>
            <wp:effectExtent l="19050" t="0" r="3175" b="0"/>
            <wp:docPr id="18" name="Рисунок 18" descr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унок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поставки j-того генерирующего объекта в i-том году электрической энергии по регулируемым ценам (тарифам), учтенный в сводном балансе i-го года.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450" cy="318135"/>
            <wp:effectExtent l="19050" t="0" r="6350" b="0"/>
            <wp:docPr id="19" name="Рисунок 19" descr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нок 4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среднегодовой объем мощности j-ого генерирующего объекта, отобранной по итогам конкурентного отбора мощности на </w:t>
      </w:r>
      <w:proofErr w:type="spell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i-ый</w:t>
      </w:r>
      <w:proofErr w:type="spell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(для генерирующего объекта, поставляющего мощность и электрическую энергию в вынужденном режиме, - прогнозируемый в соответствии со сводным балансом среднегодовой объем располагаемой мощности, за исключением объема потребления мощности на собственные и (или) хозяйственные нужды данного генерирующего объекта), МВт;</w:t>
      </w:r>
      <w:proofErr w:type="gramEnd"/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735" cy="347980"/>
            <wp:effectExtent l="19050" t="0" r="5715" b="0"/>
            <wp:docPr id="20" name="Рисунок 20" descr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унок 4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величина денежных средств, полученных в результате размещения акций, с учетом возможности размещения указанных денежных средств на банковский вклад, снижающая цену продажи мощности j-ого генерирующего объекта в году </w:t>
      </w:r>
      <w:proofErr w:type="spell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определяемая по формуле: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1858" cy="1073617"/>
            <wp:effectExtent l="19050" t="0" r="7592" b="0"/>
            <wp:docPr id="21" name="Рисунок 21" descr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нок 4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58" cy="107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, (6)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2535" cy="347980"/>
            <wp:effectExtent l="19050" t="0" r="5715" b="0"/>
            <wp:docPr id="22" name="Рисунок 22" descr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4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генерирующих объектов, входящих в генерирующую компанию в году </w:t>
      </w:r>
      <w:proofErr w:type="spell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генерирующих объектов, в отношении которых нарушаются сроки ввода в эксплуатацию;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период, определяемый как разность даты (в годах), на которую определяется Цена на мощность, и даты (в годах), следующей за указанной в договоре о предоставлении мощности датой ввода, годы;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" cy="318135"/>
            <wp:effectExtent l="19050" t="0" r="0" b="0"/>
            <wp:docPr id="23" name="Рисунок 23" descr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нок 4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плановая стоимость строительства p-го генерирующего объекта, указанного в договоре о предоставлении мощности и не введенного в эксплуатацию в течение более чем 12 календарных месяцев по окончании срока, установленного в договоре о предоставлении мощности, руб.;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980" cy="298450"/>
            <wp:effectExtent l="19050" t="0" r="0" b="0"/>
            <wp:docPr id="24" name="Рисунок 24" descr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унок 4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денежных средств, полученных в результате размещения акций, в стоимости строительства всех генерирующих объектов, указанных в договоре о предоставлении мощности;</w:t>
      </w:r>
    </w:p>
    <w:p w:rsidR="00577832" w:rsidRPr="00577832" w:rsidRDefault="00577832" w:rsidP="005778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" cy="298450"/>
            <wp:effectExtent l="19050" t="0" r="5715" b="0"/>
            <wp:docPr id="25" name="Рисунок 25" descr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унок 5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445" cy="298450"/>
            <wp:effectExtent l="19050" t="0" r="8255" b="0"/>
            <wp:docPr id="26" name="Рисунок 26" descr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унок 5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календарных дней </w:t>
      </w:r>
      <w:proofErr w:type="gramStart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57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размещении акций до 1-го января k-го и i-го года соответственно.</w:t>
      </w:r>
    </w:p>
    <w:p w:rsidR="002421B5" w:rsidRDefault="002421B5"/>
    <w:sectPr w:rsidR="002421B5" w:rsidSect="0057783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77832"/>
    <w:rsid w:val="001846CC"/>
    <w:rsid w:val="002421B5"/>
    <w:rsid w:val="00346458"/>
    <w:rsid w:val="00577832"/>
    <w:rsid w:val="0075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1971</Words>
  <Characters>11235</Characters>
  <Application>Microsoft Office Word</Application>
  <DocSecurity>0</DocSecurity>
  <Lines>93</Lines>
  <Paragraphs>26</Paragraphs>
  <ScaleCrop>false</ScaleCrop>
  <Company>home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2011-04-19T08:54:00Z</dcterms:created>
  <dcterms:modified xsi:type="dcterms:W3CDTF">2011-04-19T08:59:00Z</dcterms:modified>
</cp:coreProperties>
</file>