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E7D05" w14:textId="77777777" w:rsidR="00757B46" w:rsidRPr="00D54C45" w:rsidRDefault="00757B46" w:rsidP="000357D3">
      <w:pPr>
        <w:tabs>
          <w:tab w:val="left" w:pos="14459"/>
        </w:tabs>
        <w:spacing w:after="0" w:line="240" w:lineRule="auto"/>
        <w:ind w:right="-1"/>
        <w:rPr>
          <w:rFonts w:ascii="Garamond" w:eastAsia="Times New Roman" w:hAnsi="Garamond" w:cs="Liberation Serif"/>
          <w:b/>
          <w:bCs/>
          <w:sz w:val="28"/>
          <w:szCs w:val="28"/>
          <w:lang w:eastAsia="ru-RU"/>
        </w:rPr>
      </w:pPr>
      <w:bookmarkStart w:id="0" w:name="_Hlk181017964"/>
      <w:r w:rsidRPr="00D54C45">
        <w:rPr>
          <w:rFonts w:ascii="Garamond" w:eastAsia="Times New Roman" w:hAnsi="Garamond" w:cs="Liberation Serif"/>
          <w:b/>
          <w:bCs/>
          <w:sz w:val="28"/>
          <w:szCs w:val="28"/>
          <w:lang w:val="en-US" w:eastAsia="ru-RU"/>
        </w:rPr>
        <w:t>X</w:t>
      </w:r>
      <w:r w:rsidRPr="00D54C45">
        <w:rPr>
          <w:rFonts w:ascii="Garamond" w:eastAsia="Times New Roman" w:hAnsi="Garamond" w:cs="Liberation Serif"/>
          <w:b/>
          <w:bCs/>
          <w:sz w:val="28"/>
          <w:szCs w:val="28"/>
          <w:lang w:eastAsia="ru-RU"/>
        </w:rPr>
        <w:t>.4. Изменения, связанные с конкретизацией требований по определению необходимых объемов резервов мощности с учетом их территориального расположения в ЕЭС России</w:t>
      </w:r>
    </w:p>
    <w:bookmarkEnd w:id="0"/>
    <w:p w14:paraId="51EF2605" w14:textId="77777777" w:rsidR="00757B46" w:rsidRPr="00D54C45" w:rsidRDefault="00757B46" w:rsidP="00757B46">
      <w:pPr>
        <w:spacing w:after="0" w:line="240" w:lineRule="auto"/>
        <w:ind w:right="111"/>
        <w:rPr>
          <w:rFonts w:ascii="Garamond" w:eastAsia="Times New Roman" w:hAnsi="Garamond" w:cs="Tahoma"/>
          <w:b/>
          <w:sz w:val="24"/>
          <w:szCs w:val="24"/>
          <w:lang w:eastAsia="ru-RU"/>
        </w:rPr>
      </w:pPr>
    </w:p>
    <w:p w14:paraId="5E927BA9" w14:textId="77777777" w:rsidR="00757B46" w:rsidRPr="00D54C45" w:rsidRDefault="00757B46" w:rsidP="00757B46">
      <w:pPr>
        <w:spacing w:after="0" w:line="240" w:lineRule="auto"/>
        <w:ind w:right="111"/>
        <w:jc w:val="right"/>
        <w:rPr>
          <w:rFonts w:ascii="Garamond" w:eastAsia="Times New Roman" w:hAnsi="Garamond" w:cs="Tahoma"/>
          <w:b/>
          <w:sz w:val="28"/>
          <w:szCs w:val="28"/>
          <w:lang w:eastAsia="ru-RU"/>
        </w:rPr>
      </w:pPr>
      <w:r w:rsidRPr="00D54C45">
        <w:rPr>
          <w:rFonts w:ascii="Garamond" w:eastAsia="Times New Roman" w:hAnsi="Garamond" w:cs="Tahoma"/>
          <w:b/>
          <w:sz w:val="28"/>
          <w:szCs w:val="28"/>
          <w:lang w:eastAsia="ru-RU"/>
        </w:rPr>
        <w:t>Приложение № 10.4</w:t>
      </w:r>
    </w:p>
    <w:p w14:paraId="6084AA81" w14:textId="77777777" w:rsidR="00463235" w:rsidRPr="00D54C45" w:rsidRDefault="00463235" w:rsidP="00243219">
      <w:pPr>
        <w:spacing w:after="0" w:line="240" w:lineRule="auto"/>
        <w:ind w:right="111"/>
        <w:rPr>
          <w:rFonts w:ascii="Garamond" w:eastAsia="Times New Roman" w:hAnsi="Garamond" w:cs="Tahoma"/>
          <w:b/>
          <w:sz w:val="24"/>
          <w:szCs w:val="24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1"/>
      </w:tblGrid>
      <w:tr w:rsidR="000E28E1" w:rsidRPr="00D54C45" w14:paraId="39B454CB" w14:textId="77777777" w:rsidTr="00DF0E1A">
        <w:trPr>
          <w:trHeight w:val="928"/>
        </w:trPr>
        <w:tc>
          <w:tcPr>
            <w:tcW w:w="15021" w:type="dxa"/>
          </w:tcPr>
          <w:p w14:paraId="5C8DF2CD" w14:textId="03AC5DA0" w:rsidR="002652B0" w:rsidRPr="00D54C45" w:rsidRDefault="000E28E1" w:rsidP="002652B0">
            <w:pPr>
              <w:widowControl w:val="0"/>
              <w:spacing w:after="0" w:line="240" w:lineRule="auto"/>
              <w:ind w:right="-591"/>
              <w:jc w:val="both"/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</w:pPr>
            <w:bookmarkStart w:id="1" w:name="_Hlk172024741"/>
            <w:r w:rsidRPr="00D54C45">
              <w:rPr>
                <w:rFonts w:ascii="Garamond" w:eastAsia="Times New Roman" w:hAnsi="Garamond" w:cs="Times New Roman"/>
                <w:b/>
                <w:sz w:val="24"/>
                <w:szCs w:val="20"/>
                <w:lang w:eastAsia="ru-RU"/>
              </w:rPr>
              <w:t xml:space="preserve">Инициатор: </w:t>
            </w:r>
            <w:r w:rsidR="002652B0" w:rsidRPr="00D54C45"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  <w:t xml:space="preserve">член Наблюдательного совета Ассоциации «НП Совет рынка» Ф.Ю. </w:t>
            </w:r>
            <w:proofErr w:type="spellStart"/>
            <w:r w:rsidR="002652B0" w:rsidRPr="00D54C45"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  <w:t>Опадчий</w:t>
            </w:r>
            <w:proofErr w:type="spellEnd"/>
            <w:r w:rsidR="00757B46" w:rsidRPr="00D54C45"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  <w:t>.</w:t>
            </w:r>
          </w:p>
          <w:p w14:paraId="4CA87771" w14:textId="77777777" w:rsidR="00150188" w:rsidRPr="00D54C45" w:rsidRDefault="000E28E1" w:rsidP="00150188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</w:pPr>
            <w:r w:rsidRPr="00D54C45">
              <w:rPr>
                <w:rFonts w:ascii="Garamond" w:eastAsia="Times New Roman" w:hAnsi="Garamond" w:cs="Times New Roman"/>
                <w:b/>
                <w:sz w:val="24"/>
                <w:szCs w:val="20"/>
                <w:lang w:eastAsia="ru-RU"/>
              </w:rPr>
              <w:t>Обоснование:</w:t>
            </w:r>
            <w:r w:rsidR="00243219" w:rsidRPr="00D54C45"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  <w:t xml:space="preserve"> </w:t>
            </w:r>
            <w:bookmarkStart w:id="2" w:name="_Hlk181021166"/>
            <w:r w:rsidR="00A355A5" w:rsidRPr="00D54C45"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  <w:t xml:space="preserve">необходимо конкретизировать требования по определению </w:t>
            </w:r>
            <w:r w:rsidR="00D04251" w:rsidRPr="00D54C45"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  <w:t>недостаточных</w:t>
            </w:r>
            <w:r w:rsidR="00A355A5" w:rsidRPr="00D54C45"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  <w:t xml:space="preserve"> объемов резервов мощности ТЭС с учетом их территориального расположения на отдельной территории</w:t>
            </w:r>
            <w:r w:rsidR="00BE1A9A" w:rsidRPr="00D54C45"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  <w:t>,</w:t>
            </w:r>
            <w:r w:rsidR="00A355A5" w:rsidRPr="00D54C45"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  <w:t xml:space="preserve"> входящей в состав Дальневосточного федерального округа, ранее относившейся к неценовым зонам</w:t>
            </w:r>
            <w:r w:rsidR="00D10B21" w:rsidRPr="00D54C45">
              <w:rPr>
                <w:rFonts w:ascii="Garamond" w:eastAsia="Times New Roman" w:hAnsi="Garamond" w:cs="Times New Roman"/>
                <w:sz w:val="24"/>
                <w:szCs w:val="20"/>
                <w:lang w:eastAsia="ru-RU"/>
              </w:rPr>
              <w:t>.</w:t>
            </w:r>
            <w:bookmarkStart w:id="3" w:name="_Hlk181017992"/>
          </w:p>
          <w:bookmarkEnd w:id="2"/>
          <w:bookmarkEnd w:id="3"/>
          <w:p w14:paraId="75FB0323" w14:textId="77777777" w:rsidR="000E28E1" w:rsidRPr="00D54C45" w:rsidRDefault="000E28E1" w:rsidP="00150188">
            <w:pPr>
              <w:widowControl w:val="0"/>
              <w:tabs>
                <w:tab w:val="left" w:pos="0"/>
                <w:tab w:val="left" w:pos="3420"/>
              </w:tabs>
              <w:spacing w:after="0" w:line="240" w:lineRule="auto"/>
              <w:jc w:val="both"/>
              <w:rPr>
                <w:rFonts w:ascii="Garamond" w:eastAsia="Times New Roman" w:hAnsi="Garamond" w:cs="Times New Roman"/>
                <w:sz w:val="24"/>
                <w:szCs w:val="24"/>
                <w:lang w:eastAsia="ru-RU"/>
              </w:rPr>
            </w:pPr>
            <w:r w:rsidRPr="00D54C45">
              <w:rPr>
                <w:rFonts w:ascii="Garamond" w:eastAsia="Times New Roman" w:hAnsi="Garamond" w:cs="Times New Roman"/>
                <w:b/>
                <w:sz w:val="24"/>
                <w:szCs w:val="20"/>
                <w:lang w:eastAsia="ru-RU"/>
              </w:rPr>
              <w:t xml:space="preserve">Дата вступления в </w:t>
            </w:r>
            <w:r w:rsidRPr="00D54C45">
              <w:rPr>
                <w:rFonts w:ascii="Garamond" w:eastAsia="Times New Roman" w:hAnsi="Garamond" w:cs="Times New Roman"/>
                <w:b/>
                <w:sz w:val="24"/>
                <w:szCs w:val="24"/>
                <w:lang w:eastAsia="ru-RU"/>
              </w:rPr>
              <w:t xml:space="preserve">силу: </w:t>
            </w:r>
            <w:r w:rsidR="00C40287" w:rsidRPr="00D54C45">
              <w:rPr>
                <w:rFonts w:ascii="Garamond" w:hAnsi="Garamond" w:cs="Times New Roman"/>
                <w:sz w:val="24"/>
                <w:szCs w:val="24"/>
              </w:rPr>
              <w:t>с даты вступления в силу постановления Правительства Российской Федерации «О внесении изменений в некоторые акты Правительства Российской Федерации по вопросам установления особенностей функционирования оптового и розничных рынков электрической энергии и мощности на отдельных территориях ценовых зон, ранее относившихся к неценовым зонам оптового рынка», но не ранее 1 января 2025 года, и действуют по 30 июня 2025 года (включительно). Действия сторон Договора о присоединении к торговой системе оптового рынка в отношении операционных суток, начиная с даты вступления в силу настоящих изменений, осуществляются в соответствии с настоящими изменениями.</w:t>
            </w:r>
          </w:p>
        </w:tc>
      </w:tr>
      <w:bookmarkEnd w:id="1"/>
    </w:tbl>
    <w:p w14:paraId="6FDFCCC1" w14:textId="77777777" w:rsidR="00715E44" w:rsidRDefault="00715E44" w:rsidP="00715E44">
      <w:pPr>
        <w:pStyle w:val="2"/>
        <w:numPr>
          <w:ilvl w:val="0"/>
          <w:numId w:val="0"/>
        </w:numPr>
        <w:spacing w:before="0" w:after="0"/>
        <w:rPr>
          <w:rFonts w:ascii="Garamond" w:hAnsi="Garamond"/>
          <w:sz w:val="26"/>
          <w:szCs w:val="26"/>
          <w:lang w:val="ru-RU"/>
        </w:rPr>
      </w:pPr>
    </w:p>
    <w:p w14:paraId="5625CBFB" w14:textId="28AE4458" w:rsidR="00316259" w:rsidRDefault="00316259" w:rsidP="001A318F">
      <w:pPr>
        <w:pStyle w:val="2"/>
        <w:numPr>
          <w:ilvl w:val="0"/>
          <w:numId w:val="0"/>
        </w:numPr>
        <w:spacing w:before="0" w:after="0"/>
        <w:jc w:val="left"/>
        <w:rPr>
          <w:rFonts w:ascii="Garamond" w:hAnsi="Garamond"/>
          <w:sz w:val="26"/>
          <w:szCs w:val="26"/>
          <w:lang w:val="ru-RU"/>
        </w:rPr>
      </w:pPr>
      <w:r w:rsidRPr="00D54C45">
        <w:rPr>
          <w:rFonts w:ascii="Garamond" w:hAnsi="Garamond"/>
          <w:sz w:val="26"/>
          <w:szCs w:val="26"/>
          <w:lang w:val="ru-RU"/>
        </w:rPr>
        <w:t xml:space="preserve">Предложения по изменениям и дополнениям в РЕГЛАМЕНТ </w:t>
      </w:r>
      <w:r w:rsidRPr="00D54C45">
        <w:rPr>
          <w:rFonts w:ascii="Garamond" w:hAnsi="Garamond" w:cs="Garamond"/>
          <w:sz w:val="26"/>
          <w:szCs w:val="26"/>
          <w:lang w:val="ru-RU"/>
        </w:rPr>
        <w:t xml:space="preserve">ПРОВЕДЕНИЯ КОНКУРЕНТНОГО ОТБОРА ЦЕНОВЫХ ЗАЯВОК НА СУТКИ ВПЕРЕД (Приложение № 7 </w:t>
      </w:r>
      <w:r w:rsidRPr="00D54C45">
        <w:rPr>
          <w:rFonts w:ascii="Garamond" w:hAnsi="Garamond"/>
          <w:sz w:val="26"/>
          <w:szCs w:val="26"/>
          <w:lang w:val="ru-RU"/>
        </w:rPr>
        <w:t>к Договору о присоединении к торговой системе оптового рынка)</w:t>
      </w:r>
    </w:p>
    <w:p w14:paraId="4080AEAC" w14:textId="77777777" w:rsidR="00715E44" w:rsidRPr="00715E44" w:rsidRDefault="00715E44" w:rsidP="00715E44">
      <w:pPr>
        <w:pStyle w:val="3"/>
        <w:numPr>
          <w:ilvl w:val="0"/>
          <w:numId w:val="0"/>
        </w:numPr>
        <w:spacing w:before="0" w:after="0"/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973"/>
        <w:gridCol w:w="6975"/>
      </w:tblGrid>
      <w:tr w:rsidR="00316259" w:rsidRPr="00D54C45" w14:paraId="1B8B032A" w14:textId="77777777" w:rsidTr="00BF0EA4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4D08" w14:textId="77777777" w:rsidR="00316259" w:rsidRPr="00D54C45" w:rsidRDefault="00316259" w:rsidP="00BF0EA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Times New Roman"/>
                <w:b/>
                <w:bCs/>
                <w:lang w:eastAsia="ru-RU"/>
              </w:rPr>
              <w:t>№ пункта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CE25" w14:textId="77777777" w:rsidR="00316259" w:rsidRPr="00D54C45" w:rsidRDefault="00316259" w:rsidP="00BF0EA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22936206" w14:textId="77777777" w:rsidR="00316259" w:rsidRPr="00D54C45" w:rsidRDefault="00316259" w:rsidP="00BF0EA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3F0C" w14:textId="77777777" w:rsidR="00316259" w:rsidRPr="00D54C45" w:rsidRDefault="00316259" w:rsidP="00BF0EA4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0893720D" w14:textId="77777777" w:rsidR="00316259" w:rsidRPr="00D54C45" w:rsidRDefault="00316259" w:rsidP="00BF0EA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316259" w:rsidRPr="00D54C45" w14:paraId="53D11089" w14:textId="77777777" w:rsidTr="00BF0EA4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1CB4" w14:textId="77777777" w:rsidR="00316259" w:rsidRPr="00D54C45" w:rsidRDefault="00316259" w:rsidP="00BF0EA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Times New Roman"/>
                <w:b/>
                <w:bCs/>
                <w:lang w:eastAsia="ru-RU"/>
              </w:rPr>
              <w:t>3.1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F2F1" w14:textId="77777777" w:rsidR="00316259" w:rsidRPr="00D54C45" w:rsidRDefault="00316259" w:rsidP="00EC58C4">
            <w:pPr>
              <w:pStyle w:val="3"/>
              <w:numPr>
                <w:ilvl w:val="2"/>
                <w:numId w:val="0"/>
              </w:numPr>
              <w:tabs>
                <w:tab w:val="num" w:pos="360"/>
              </w:tabs>
              <w:rPr>
                <w:rFonts w:ascii="Garamond" w:hAnsi="Garamond"/>
                <w:b w:val="0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>Перечень информации</w:t>
            </w:r>
          </w:p>
          <w:p w14:paraId="04B6E152" w14:textId="77777777" w:rsidR="00316259" w:rsidRPr="00D54C45" w:rsidRDefault="00316259" w:rsidP="00EC58C4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 xml:space="preserve">Для проведения конкурентного отбора и определения планового почасового производства и потребления КО использует актуализированную расчетную модель ЕЭС, подготовленную Системным оператором в соответствии с </w:t>
            </w:r>
            <w:r w:rsidRPr="00D54C45">
              <w:rPr>
                <w:rFonts w:ascii="Garamond" w:hAnsi="Garamond"/>
                <w:i/>
              </w:rPr>
              <w:t xml:space="preserve">Регламентом актуализации расчетной модели </w:t>
            </w:r>
            <w:r w:rsidRPr="00D54C45">
              <w:rPr>
                <w:rFonts w:ascii="Garamond" w:hAnsi="Garamond"/>
              </w:rPr>
              <w:t>(Приложение № 3 к</w:t>
            </w:r>
            <w:r w:rsidRPr="00D54C45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D54C45">
              <w:rPr>
                <w:rFonts w:ascii="Garamond" w:hAnsi="Garamond"/>
              </w:rPr>
              <w:t>)</w:t>
            </w:r>
            <w:r w:rsidRPr="00D54C45">
              <w:rPr>
                <w:rFonts w:ascii="Garamond" w:hAnsi="Garamond"/>
                <w:i/>
              </w:rPr>
              <w:t xml:space="preserve"> </w:t>
            </w:r>
            <w:r w:rsidRPr="00D54C45">
              <w:rPr>
                <w:rFonts w:ascii="Garamond" w:hAnsi="Garamond"/>
              </w:rPr>
              <w:t>и содержащую следующую почасовую информацию:</w:t>
            </w:r>
          </w:p>
          <w:p w14:paraId="76EEAB20" w14:textId="77777777" w:rsidR="00316259" w:rsidRPr="00D54C45" w:rsidRDefault="00316259" w:rsidP="00EC58C4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>…</w:t>
            </w:r>
          </w:p>
          <w:p w14:paraId="3D27EE80" w14:textId="77777777" w:rsidR="00316259" w:rsidRPr="00D54C45" w:rsidRDefault="00316259" w:rsidP="00EC58C4">
            <w:pPr>
              <w:pStyle w:val="50"/>
              <w:numPr>
                <w:ilvl w:val="0"/>
                <w:numId w:val="44"/>
              </w:numPr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для входящей в состав Дальневосточного федерального округа отдельной территории, ранее относившейся к неценовым зонам – признак, устанавливающий достаточность или недостаточность резервов на загрузку </w:t>
            </w:r>
            <w:r w:rsidRPr="00D54C45">
              <w:rPr>
                <w:rFonts w:ascii="Garamond" w:hAnsi="Garamond"/>
                <w:szCs w:val="22"/>
              </w:rPr>
              <w:lastRenderedPageBreak/>
              <w:t>ТЭС (данный признак устанавливается в отношении всех часов операционных суток);</w:t>
            </w:r>
          </w:p>
          <w:p w14:paraId="3FF5725A" w14:textId="77777777" w:rsidR="00316259" w:rsidRPr="00D54C45" w:rsidRDefault="00316259" w:rsidP="00EC58C4">
            <w:pPr>
              <w:pStyle w:val="50"/>
              <w:numPr>
                <w:ilvl w:val="0"/>
                <w:numId w:val="44"/>
              </w:numPr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для входящей в состав Дальневосточного федерального округа отдельной территории, ранее относившейся к неценовым зонам – объемы </w:t>
            </w:r>
            <w:r w:rsidRPr="00D54C45">
              <w:rPr>
                <w:rFonts w:ascii="Garamond" w:hAnsi="Garamond"/>
                <w:szCs w:val="22"/>
                <w:highlight w:val="yellow"/>
              </w:rPr>
              <w:t>необходимого</w:t>
            </w:r>
            <w:r w:rsidRPr="00D54C45">
              <w:rPr>
                <w:rFonts w:ascii="Garamond" w:hAnsi="Garamond"/>
                <w:szCs w:val="22"/>
              </w:rPr>
              <w:t xml:space="preserve"> резерва на загрузку генерирующего оборудования на ТЭС;</w:t>
            </w:r>
          </w:p>
          <w:p w14:paraId="4630B5F8" w14:textId="77777777" w:rsidR="00316259" w:rsidRPr="00D54C45" w:rsidRDefault="00316259" w:rsidP="00EC58C4">
            <w:pPr>
              <w:pStyle w:val="50"/>
              <w:numPr>
                <w:ilvl w:val="0"/>
                <w:numId w:val="44"/>
              </w:numPr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другую информацию, определяемую в соответствии с </w:t>
            </w:r>
            <w:r w:rsidRPr="00D54C45">
              <w:rPr>
                <w:rFonts w:ascii="Garamond" w:hAnsi="Garamond"/>
                <w:i/>
                <w:iCs/>
                <w:szCs w:val="22"/>
              </w:rPr>
              <w:t>Регламентом а</w:t>
            </w:r>
            <w:r w:rsidRPr="00D54C45">
              <w:rPr>
                <w:rFonts w:ascii="Garamond" w:hAnsi="Garamond"/>
                <w:i/>
                <w:szCs w:val="22"/>
              </w:rPr>
              <w:t>ктуализации расчетной модели</w:t>
            </w:r>
            <w:r w:rsidRPr="00D54C45">
              <w:rPr>
                <w:rFonts w:ascii="Garamond" w:hAnsi="Garamond"/>
                <w:szCs w:val="22"/>
              </w:rPr>
              <w:t xml:space="preserve"> (Приложение № 3 к</w:t>
            </w:r>
            <w:r w:rsidRPr="00D54C45">
              <w:rPr>
                <w:rFonts w:ascii="Garamond" w:hAnsi="Garamond"/>
                <w:i/>
                <w:szCs w:val="22"/>
              </w:rPr>
              <w:t xml:space="preserve"> Договору о присоединении к торговой системе оптового рынка</w:t>
            </w:r>
            <w:r w:rsidRPr="00D54C45">
              <w:rPr>
                <w:rFonts w:ascii="Garamond" w:hAnsi="Garamond"/>
                <w:szCs w:val="22"/>
              </w:rPr>
              <w:t>)</w:t>
            </w:r>
            <w:r w:rsidRPr="00D54C45">
              <w:rPr>
                <w:rFonts w:ascii="Garamond" w:hAnsi="Garamond"/>
                <w:i/>
                <w:szCs w:val="22"/>
              </w:rPr>
              <w:t>.</w:t>
            </w:r>
          </w:p>
          <w:p w14:paraId="55C1CBAD" w14:textId="77777777" w:rsidR="00316259" w:rsidRPr="00D54C45" w:rsidRDefault="00316259" w:rsidP="00EC58C4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/>
                <w:color w:val="000000"/>
                <w:lang w:eastAsia="ru-RU"/>
              </w:rPr>
            </w:pPr>
            <w:r w:rsidRPr="00D54C45">
              <w:rPr>
                <w:rFonts w:ascii="Garamond" w:eastAsia="Times New Roman" w:hAnsi="Garamond" w:cs="Times New Roman"/>
                <w:b/>
                <w:color w:val="000000"/>
                <w:lang w:eastAsia="ru-RU"/>
              </w:rPr>
              <w:t>…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8ADC" w14:textId="77777777" w:rsidR="00316259" w:rsidRPr="00D54C45" w:rsidRDefault="00316259" w:rsidP="00EC58C4">
            <w:pPr>
              <w:pStyle w:val="3"/>
              <w:numPr>
                <w:ilvl w:val="2"/>
                <w:numId w:val="0"/>
              </w:numPr>
              <w:tabs>
                <w:tab w:val="num" w:pos="360"/>
              </w:tabs>
              <w:rPr>
                <w:rFonts w:ascii="Garamond" w:hAnsi="Garamond"/>
                <w:b w:val="0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lastRenderedPageBreak/>
              <w:t>Перечень информации</w:t>
            </w:r>
          </w:p>
          <w:p w14:paraId="176ED9B0" w14:textId="77777777" w:rsidR="00316259" w:rsidRPr="00D54C45" w:rsidRDefault="00316259" w:rsidP="00EC58C4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 xml:space="preserve">Для проведения конкурентного отбора и определения планового почасового производства и потребления КО использует актуализированную расчетную модель ЕЭС, подготовленную Системным оператором в соответствии с </w:t>
            </w:r>
            <w:r w:rsidRPr="00D54C45">
              <w:rPr>
                <w:rFonts w:ascii="Garamond" w:hAnsi="Garamond"/>
                <w:i/>
              </w:rPr>
              <w:t xml:space="preserve">Регламентом актуализации расчетной модели </w:t>
            </w:r>
            <w:r w:rsidRPr="00D54C45">
              <w:rPr>
                <w:rFonts w:ascii="Garamond" w:hAnsi="Garamond"/>
              </w:rPr>
              <w:t>(Приложение № 3 к</w:t>
            </w:r>
            <w:r w:rsidRPr="00D54C45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D54C45">
              <w:rPr>
                <w:rFonts w:ascii="Garamond" w:hAnsi="Garamond"/>
              </w:rPr>
              <w:t>)</w:t>
            </w:r>
            <w:r w:rsidRPr="00D54C45">
              <w:rPr>
                <w:rFonts w:ascii="Garamond" w:hAnsi="Garamond"/>
                <w:i/>
              </w:rPr>
              <w:t xml:space="preserve"> </w:t>
            </w:r>
            <w:r w:rsidRPr="00D54C45">
              <w:rPr>
                <w:rFonts w:ascii="Garamond" w:hAnsi="Garamond"/>
              </w:rPr>
              <w:t>и содержащую следующую почасовую информацию:</w:t>
            </w:r>
          </w:p>
          <w:p w14:paraId="12A1FE85" w14:textId="77777777" w:rsidR="00316259" w:rsidRPr="00D54C45" w:rsidRDefault="00316259" w:rsidP="00EC58C4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>…</w:t>
            </w:r>
          </w:p>
          <w:p w14:paraId="6BADF607" w14:textId="77777777" w:rsidR="00316259" w:rsidRPr="00D54C45" w:rsidRDefault="00316259" w:rsidP="00EC58C4">
            <w:pPr>
              <w:pStyle w:val="50"/>
              <w:numPr>
                <w:ilvl w:val="0"/>
                <w:numId w:val="44"/>
              </w:numPr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для входящей в состав Дальневосточного федерального округа отдельной территории, ранее относившейся к неценовым зонам – признак, устанавливающий достаточность или недостаточность резервов на загрузку </w:t>
            </w:r>
            <w:r w:rsidRPr="00D54C45">
              <w:rPr>
                <w:rFonts w:ascii="Garamond" w:hAnsi="Garamond"/>
                <w:szCs w:val="22"/>
              </w:rPr>
              <w:lastRenderedPageBreak/>
              <w:t>ТЭС (данный признак устанавливается в отношении всех часов операционных суток);</w:t>
            </w:r>
          </w:p>
          <w:p w14:paraId="0BC44FD9" w14:textId="77777777" w:rsidR="00316259" w:rsidRPr="00D54C45" w:rsidRDefault="00316259" w:rsidP="00EC58C4">
            <w:pPr>
              <w:pStyle w:val="50"/>
              <w:numPr>
                <w:ilvl w:val="0"/>
                <w:numId w:val="44"/>
              </w:numPr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для входящей в состав Дальневосточного федерального округа отдельной территории, ранее относившейся к неценовым зонам – объемы </w:t>
            </w:r>
            <w:r w:rsidRPr="00D54C45">
              <w:rPr>
                <w:rFonts w:ascii="Garamond" w:hAnsi="Garamond"/>
                <w:szCs w:val="22"/>
                <w:highlight w:val="yellow"/>
              </w:rPr>
              <w:t>недостаточного</w:t>
            </w:r>
            <w:r w:rsidRPr="00D54C45">
              <w:rPr>
                <w:rFonts w:ascii="Garamond" w:hAnsi="Garamond"/>
                <w:szCs w:val="22"/>
              </w:rPr>
              <w:t xml:space="preserve"> резерва на загрузку генерирующего оборудования на ТЭС;</w:t>
            </w:r>
          </w:p>
          <w:p w14:paraId="0538017E" w14:textId="77777777" w:rsidR="00316259" w:rsidRPr="00D54C45" w:rsidRDefault="00316259" w:rsidP="00EC58C4">
            <w:pPr>
              <w:pStyle w:val="50"/>
              <w:numPr>
                <w:ilvl w:val="0"/>
                <w:numId w:val="44"/>
              </w:numPr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другую информацию, определяемую в соответствии с </w:t>
            </w:r>
            <w:r w:rsidRPr="00D54C45">
              <w:rPr>
                <w:rFonts w:ascii="Garamond" w:hAnsi="Garamond"/>
                <w:i/>
                <w:iCs/>
                <w:szCs w:val="22"/>
              </w:rPr>
              <w:t>Регламентом а</w:t>
            </w:r>
            <w:r w:rsidRPr="00D54C45">
              <w:rPr>
                <w:rFonts w:ascii="Garamond" w:hAnsi="Garamond"/>
                <w:i/>
                <w:szCs w:val="22"/>
              </w:rPr>
              <w:t>ктуализации расчетной модели</w:t>
            </w:r>
            <w:r w:rsidRPr="00D54C45">
              <w:rPr>
                <w:rFonts w:ascii="Garamond" w:hAnsi="Garamond"/>
                <w:szCs w:val="22"/>
              </w:rPr>
              <w:t xml:space="preserve"> (Приложение № 3 к</w:t>
            </w:r>
            <w:r w:rsidRPr="00D54C45">
              <w:rPr>
                <w:rFonts w:ascii="Garamond" w:hAnsi="Garamond"/>
                <w:i/>
                <w:szCs w:val="22"/>
              </w:rPr>
              <w:t xml:space="preserve"> Договору о присоединении к торговой системе оптового рынка</w:t>
            </w:r>
            <w:r w:rsidRPr="00D54C45">
              <w:rPr>
                <w:rFonts w:ascii="Garamond" w:hAnsi="Garamond"/>
                <w:szCs w:val="22"/>
              </w:rPr>
              <w:t>)</w:t>
            </w:r>
            <w:r w:rsidRPr="00D54C45">
              <w:rPr>
                <w:rFonts w:ascii="Garamond" w:hAnsi="Garamond"/>
                <w:i/>
                <w:szCs w:val="22"/>
              </w:rPr>
              <w:t>.</w:t>
            </w:r>
          </w:p>
          <w:p w14:paraId="509DE117" w14:textId="77777777" w:rsidR="00316259" w:rsidRPr="00D54C45" w:rsidRDefault="00316259" w:rsidP="00EC58C4">
            <w:pPr>
              <w:spacing w:before="120" w:after="120" w:line="240" w:lineRule="auto"/>
              <w:jc w:val="both"/>
              <w:rPr>
                <w:rFonts w:ascii="Garamond" w:eastAsia="Times New Roman" w:hAnsi="Garamond" w:cs="Times New Roman"/>
                <w:b/>
                <w:color w:val="000000"/>
                <w:lang w:eastAsia="ru-RU"/>
              </w:rPr>
            </w:pPr>
            <w:r w:rsidRPr="00D54C45">
              <w:rPr>
                <w:rFonts w:ascii="Garamond" w:eastAsia="Times New Roman" w:hAnsi="Garamond" w:cs="Times New Roman"/>
                <w:b/>
                <w:color w:val="000000"/>
                <w:lang w:eastAsia="ru-RU"/>
              </w:rPr>
              <w:t>…</w:t>
            </w:r>
          </w:p>
        </w:tc>
      </w:tr>
      <w:tr w:rsidR="00316259" w:rsidRPr="00D54C45" w14:paraId="4A0A1A69" w14:textId="77777777" w:rsidTr="00BF0EA4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482A" w14:textId="77777777" w:rsidR="00316259" w:rsidRPr="00D54C45" w:rsidRDefault="00316259" w:rsidP="00BF0EA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Times New Roman"/>
                <w:b/>
                <w:bCs/>
                <w:lang w:eastAsia="ru-RU"/>
              </w:rPr>
              <w:lastRenderedPageBreak/>
              <w:t>5.3,</w:t>
            </w:r>
            <w:r w:rsidRPr="00D54C45">
              <w:rPr>
                <w:rFonts w:ascii="Garamond" w:eastAsia="Times New Roman" w:hAnsi="Garamond" w:cs="Times New Roman"/>
                <w:b/>
                <w:bCs/>
                <w:lang w:eastAsia="ru-RU"/>
              </w:rPr>
              <w:br/>
            </w:r>
            <w:proofErr w:type="spellStart"/>
            <w:r w:rsidRPr="00D54C45">
              <w:rPr>
                <w:rFonts w:ascii="Garamond" w:eastAsia="Times New Roman" w:hAnsi="Garamond" w:cs="Times New Roman"/>
                <w:b/>
                <w:bCs/>
                <w:lang w:eastAsia="ru-RU"/>
              </w:rPr>
              <w:t>пдп</w:t>
            </w:r>
            <w:proofErr w:type="spellEnd"/>
            <w:r w:rsidRPr="00D54C45">
              <w:rPr>
                <w:rFonts w:ascii="Garamond" w:eastAsia="Times New Roman" w:hAnsi="Garamond" w:cs="Times New Roman"/>
                <w:b/>
                <w:bCs/>
                <w:lang w:eastAsia="ru-RU"/>
              </w:rPr>
              <w:t>. 10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86C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b/>
                <w:szCs w:val="22"/>
              </w:rPr>
            </w:pPr>
            <w:r w:rsidRPr="00D54C45">
              <w:rPr>
                <w:rFonts w:ascii="Garamond" w:hAnsi="Garamond"/>
                <w:b/>
                <w:szCs w:val="22"/>
              </w:rPr>
              <w:t>Для входящей в состав Дальневосточного федерального округа отдельной территории, ранее относившейся к неценовым зонам</w:t>
            </w:r>
          </w:p>
          <w:p w14:paraId="77DE2D72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В случае если в отношении рассматриваемых операционных суток СО передан признак недостаточности резервов на загрузку ТЭС, то влияние на равновесные цены на объемы производства электрической энергии определенных в соответствии с настоящим пунктом ценовых заявок поставщиков по ГТП генерации ограничивается минимальной величиной из цен на электрическую энергию, указываемых участниками оптового рынка в ценовых заявках на продажу электрической энергии, подаваемых для участия в конкурентном отборе ценовых заявок на сутки вперед, и определенного в соответствии с настоящим пунктом предельного уровня цены в ценовых заявках ТЭС. </w:t>
            </w:r>
          </w:p>
          <w:p w14:paraId="218260AF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В число ценовых заявок, влияние которых ограничивается, включаются сформированные в соответствии с Приложением 1 к настоящему Регламенту пары &lt;цена-количество&gt; по ГТП генерации ТЭС с наиболее высокими значениями цены, объем которых полностью включен в объем ограниченного участия в ценообразовании. Объем ограниченного участия в ценообразовании принимается равным </w:t>
            </w:r>
            <w:r w:rsidRPr="00D54C45">
              <w:rPr>
                <w:rFonts w:ascii="Garamond" w:hAnsi="Garamond"/>
                <w:szCs w:val="22"/>
                <w:highlight w:val="yellow"/>
              </w:rPr>
              <w:t>определенному СО необходимому</w:t>
            </w:r>
            <w:r w:rsidRPr="00D54C45">
              <w:rPr>
                <w:rFonts w:ascii="Garamond" w:hAnsi="Garamond"/>
                <w:szCs w:val="22"/>
              </w:rPr>
              <w:t xml:space="preserve"> резерв</w:t>
            </w:r>
            <w:r w:rsidRPr="00D54C45">
              <w:rPr>
                <w:rFonts w:ascii="Garamond" w:hAnsi="Garamond"/>
                <w:szCs w:val="22"/>
                <w:highlight w:val="yellow"/>
              </w:rPr>
              <w:t>у</w:t>
            </w:r>
            <w:r w:rsidRPr="00D54C45">
              <w:rPr>
                <w:rFonts w:ascii="Garamond" w:hAnsi="Garamond"/>
                <w:szCs w:val="22"/>
              </w:rPr>
              <w:t xml:space="preserve"> на загрузку генерирующего оборудования на ТЭС. </w:t>
            </w:r>
          </w:p>
          <w:p w14:paraId="21C3CD34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Предельный уровень цены в ценовых заявках ТЭС определяется КО как максимальное значение цены среди пар &lt;цена-количество&gt; по всем ГТП генерации ТЭС, которые не включены в число пар &lt;цена-количество&gt;, </w:t>
            </w:r>
            <w:r w:rsidRPr="00D54C45">
              <w:rPr>
                <w:rFonts w:ascii="Garamond" w:hAnsi="Garamond"/>
                <w:szCs w:val="22"/>
              </w:rPr>
              <w:lastRenderedPageBreak/>
              <w:t xml:space="preserve">влияние которых ограничивается в соответствии с настоящим пунктом. В случае если нет ни одной пары &lt;цена-количество&gt;, которая не является </w:t>
            </w:r>
            <w:proofErr w:type="spellStart"/>
            <w:r w:rsidRPr="00D54C45">
              <w:rPr>
                <w:rFonts w:ascii="Garamond" w:hAnsi="Garamond"/>
                <w:szCs w:val="22"/>
              </w:rPr>
              <w:t>ценопринимающей</w:t>
            </w:r>
            <w:proofErr w:type="spellEnd"/>
            <w:r w:rsidRPr="00D54C45">
              <w:rPr>
                <w:rFonts w:ascii="Garamond" w:hAnsi="Garamond"/>
                <w:szCs w:val="22"/>
              </w:rPr>
              <w:t xml:space="preserve"> и не включена в число пар &lt;цена-количество&gt;, влияние которых ограничивается в соответствии с настоящим пунктом, то предельный уровень цены в ценовых заявках ТЭС определяется КО как минимальное значение цены среди пар &lt;цена-количество&gt;, не являющихся </w:t>
            </w:r>
            <w:proofErr w:type="spellStart"/>
            <w:r w:rsidRPr="00D54C45">
              <w:rPr>
                <w:rFonts w:ascii="Garamond" w:hAnsi="Garamond"/>
                <w:szCs w:val="22"/>
              </w:rPr>
              <w:t>ценопринимающими</w:t>
            </w:r>
            <w:proofErr w:type="spellEnd"/>
            <w:r w:rsidRPr="00D54C45">
              <w:rPr>
                <w:rFonts w:ascii="Garamond" w:hAnsi="Garamond"/>
                <w:szCs w:val="22"/>
              </w:rPr>
              <w:t>, по всем ГТП генерации ТЭС.</w:t>
            </w:r>
          </w:p>
          <w:p w14:paraId="6FA3FD22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Признак недостаточности резервов на загрузку ТЭС передается СО в составе актуализированной расчетной модели в случае, если в рассматриваемые операционные сутки объем включенного генерирующего оборудования на тепловых электростанциях не обеспечивает величину нормативного объема резерва мощности, который необходим для обеспечения надежного функционирования ЕЭС России, определяемую в соответствии с  </w:t>
            </w:r>
            <w:r w:rsidRPr="00D54C45">
              <w:rPr>
                <w:rFonts w:ascii="Garamond" w:hAnsi="Garamond"/>
                <w:i/>
                <w:szCs w:val="22"/>
              </w:rPr>
              <w:t>Методическими указаниями по определению объемов и размещению резервов активной мощности во второй синхронной зоне ЕЭС России при краткосрочном планировании электроэнергетического режима</w:t>
            </w:r>
            <w:r w:rsidRPr="00D54C45">
              <w:rPr>
                <w:rFonts w:ascii="Garamond" w:hAnsi="Garamond"/>
                <w:szCs w:val="22"/>
              </w:rPr>
              <w:t>, утверждаемыми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комплекса.</w:t>
            </w:r>
          </w:p>
          <w:p w14:paraId="0132F8DE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Объем </w:t>
            </w:r>
            <w:r w:rsidRPr="00D54C45">
              <w:rPr>
                <w:rFonts w:ascii="Garamond" w:hAnsi="Garamond"/>
                <w:szCs w:val="22"/>
                <w:highlight w:val="yellow"/>
              </w:rPr>
              <w:t>необходимого</w:t>
            </w:r>
            <w:r w:rsidRPr="00D54C45">
              <w:rPr>
                <w:rFonts w:ascii="Garamond" w:hAnsi="Garamond"/>
                <w:szCs w:val="22"/>
              </w:rPr>
              <w:t xml:space="preserve"> резерва на загрузку генерирующего оборудования на ТЭС передается СО в КО в составе актуализированной расчетной модели.</w:t>
            </w:r>
          </w:p>
          <w:p w14:paraId="1B820556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>В случае если в отношении рассматриваемых операционных суток СО не передан признак недостаточности резервов на загрузку ТЭС, то описанный механизм ограничения влияния на равновесные цены не применяется.</w:t>
            </w:r>
          </w:p>
          <w:p w14:paraId="66137FEB" w14:textId="77777777" w:rsidR="00316259" w:rsidRPr="00D54C45" w:rsidRDefault="00316259" w:rsidP="00EC58C4">
            <w:pPr>
              <w:spacing w:before="120" w:after="120" w:line="240" w:lineRule="auto"/>
              <w:ind w:firstLine="500"/>
              <w:jc w:val="both"/>
              <w:rPr>
                <w:rFonts w:ascii="Garamond" w:eastAsia="Times New Roman" w:hAnsi="Garamond" w:cs="Times New Roman"/>
                <w:b/>
                <w:color w:val="000000"/>
                <w:lang w:eastAsia="ru-RU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513F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b/>
                <w:szCs w:val="22"/>
              </w:rPr>
            </w:pPr>
            <w:r w:rsidRPr="00D54C45">
              <w:rPr>
                <w:rFonts w:ascii="Garamond" w:hAnsi="Garamond"/>
                <w:b/>
                <w:szCs w:val="22"/>
              </w:rPr>
              <w:lastRenderedPageBreak/>
              <w:t>Для входящей в состав Дальневосточного федерального округа отдельной территории, ранее относившейся к неценовым зонам</w:t>
            </w:r>
          </w:p>
          <w:p w14:paraId="6D7CAB36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В случае если в отношении рассматриваемых операционных суток СО передан признак недостаточности резервов на загрузку ТЭС, то влияние на равновесные цены на объемы производства электрической энергии определенных в соответствии с настоящим пунктом ценовых заявок поставщиков по ГТП генерации ограничивается минимальной величиной из цен на электрическую энергию, указываемых участниками оптового рынка в ценовых заявках на продажу электрической энергии, подаваемых для участия в конкурентном отборе ценовых заявок на сутки вперед, и определенного в соответствии с настоящим пунктом предельного уровня цены в ценовых заявках ТЭС. </w:t>
            </w:r>
          </w:p>
          <w:p w14:paraId="62C121D6" w14:textId="1571130F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В число ценовых заявок, влияние которых ограничивается, включаются сформированные в соответствии с Приложением 1 к настоящему Регламенту пары &lt;цена-количество&gt; по ГТП генерации ТЭС с наиболее высокими значениями цены, объем которых полностью включен в объем ограниченного участия в ценообразовании. Объем ограниченного участия в ценообразовании принимается равным </w:t>
            </w:r>
            <w:r w:rsidRPr="00D54C45">
              <w:rPr>
                <w:rFonts w:ascii="Garamond" w:hAnsi="Garamond"/>
                <w:szCs w:val="22"/>
                <w:highlight w:val="yellow"/>
              </w:rPr>
              <w:t>объему недостаточного</w:t>
            </w:r>
            <w:r w:rsidRPr="00D54C45">
              <w:rPr>
                <w:rFonts w:ascii="Garamond" w:hAnsi="Garamond"/>
                <w:szCs w:val="22"/>
              </w:rPr>
              <w:t xml:space="preserve"> резерв</w:t>
            </w:r>
            <w:r w:rsidRPr="00D54C45">
              <w:rPr>
                <w:rFonts w:ascii="Garamond" w:hAnsi="Garamond"/>
                <w:szCs w:val="22"/>
                <w:highlight w:val="yellow"/>
              </w:rPr>
              <w:t>а</w:t>
            </w:r>
            <w:r w:rsidRPr="00D54C45">
              <w:rPr>
                <w:rFonts w:ascii="Garamond" w:hAnsi="Garamond"/>
                <w:szCs w:val="22"/>
              </w:rPr>
              <w:t xml:space="preserve"> на загрузку генерирующего оборудования на ТЭС</w:t>
            </w:r>
            <w:r w:rsidRPr="00D54C45">
              <w:rPr>
                <w:rFonts w:ascii="Garamond" w:hAnsi="Garamond"/>
                <w:szCs w:val="22"/>
                <w:highlight w:val="yellow"/>
              </w:rPr>
              <w:t>, определенному СО</w:t>
            </w:r>
            <w:r w:rsidR="00527841">
              <w:rPr>
                <w:rFonts w:ascii="Garamond" w:hAnsi="Garamond"/>
                <w:szCs w:val="22"/>
                <w:highlight w:val="yellow"/>
              </w:rPr>
              <w:t xml:space="preserve"> в соответствии с п. 6.5</w:t>
            </w:r>
            <w:r w:rsidRPr="00D54C45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Pr="00D54C45">
              <w:rPr>
                <w:rFonts w:ascii="Garamond" w:hAnsi="Garamond"/>
                <w:i/>
                <w:szCs w:val="22"/>
                <w:highlight w:val="yellow"/>
              </w:rPr>
              <w:t>Регламента оперативного диспетчерского управления электроэнергетическим режимом объектов управления ЕЭС России</w:t>
            </w:r>
            <w:r w:rsidRPr="00D54C45">
              <w:rPr>
                <w:rFonts w:ascii="Garamond" w:hAnsi="Garamond"/>
                <w:szCs w:val="22"/>
                <w:highlight w:val="yellow"/>
              </w:rPr>
              <w:t xml:space="preserve"> (Приложение № 9 к </w:t>
            </w:r>
            <w:r w:rsidRPr="00D54C45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D54C45">
              <w:rPr>
                <w:rFonts w:ascii="Garamond" w:hAnsi="Garamond"/>
                <w:szCs w:val="22"/>
                <w:highlight w:val="yellow"/>
              </w:rPr>
              <w:t>)</w:t>
            </w:r>
            <w:r w:rsidRPr="00D54C45">
              <w:rPr>
                <w:rFonts w:ascii="Garamond" w:hAnsi="Garamond"/>
                <w:szCs w:val="22"/>
              </w:rPr>
              <w:t xml:space="preserve">. </w:t>
            </w:r>
          </w:p>
          <w:p w14:paraId="263C0C40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lastRenderedPageBreak/>
              <w:t xml:space="preserve">Предельный уровень цены в ценовых заявках ТЭС определяется КО как максимальное значение цены среди пар &lt;цена-количество&gt; по всем ГТП генерации ТЭС, которые не включены в число пар &lt;цена-количество&gt;, влияние которых ограничивается в соответствии с настоящим пунктом. В случае если нет ни одной пары &lt;цена-количество&gt;, которая не является </w:t>
            </w:r>
            <w:proofErr w:type="spellStart"/>
            <w:r w:rsidRPr="00D54C45">
              <w:rPr>
                <w:rFonts w:ascii="Garamond" w:hAnsi="Garamond"/>
                <w:szCs w:val="22"/>
              </w:rPr>
              <w:t>ценопринимающей</w:t>
            </w:r>
            <w:proofErr w:type="spellEnd"/>
            <w:r w:rsidRPr="00D54C45">
              <w:rPr>
                <w:rFonts w:ascii="Garamond" w:hAnsi="Garamond"/>
                <w:szCs w:val="22"/>
              </w:rPr>
              <w:t xml:space="preserve"> и не включена в число пар &lt;цена-количество&gt;, влияние которых ограничивается в соответствии с настоящим пунктом, то предельный уровень цены в ценовых заявках ТЭС определяется КО как минимальное значение цены среди пар &lt;цена-количество&gt;, не являющихся </w:t>
            </w:r>
            <w:proofErr w:type="spellStart"/>
            <w:r w:rsidRPr="00D54C45">
              <w:rPr>
                <w:rFonts w:ascii="Garamond" w:hAnsi="Garamond"/>
                <w:szCs w:val="22"/>
              </w:rPr>
              <w:t>ценопринимающими</w:t>
            </w:r>
            <w:proofErr w:type="spellEnd"/>
            <w:r w:rsidRPr="00D54C45">
              <w:rPr>
                <w:rFonts w:ascii="Garamond" w:hAnsi="Garamond"/>
                <w:szCs w:val="22"/>
              </w:rPr>
              <w:t>, по всем ГТП генерации ТЭС.</w:t>
            </w:r>
          </w:p>
          <w:p w14:paraId="68AEB03D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Признак недостаточности резервов на загрузку ТЭС передается СО в составе актуализированной расчетной модели в случае, если в рассматриваемые операционные сутки объем включенного генерирующего оборудования на тепловых электростанциях не обеспечивает величину нормативного объема резерва мощности, который необходим для обеспечения надежного функционирования ЕЭС России, определяемую в соответствии с  </w:t>
            </w:r>
            <w:r w:rsidRPr="00D54C45">
              <w:rPr>
                <w:rFonts w:ascii="Garamond" w:hAnsi="Garamond"/>
                <w:i/>
                <w:szCs w:val="22"/>
              </w:rPr>
              <w:t>Методическими указаниями по определению объемов и размещению резервов активной мощности во второй синхронной зоне ЕЭС России при краткосрочном планировании электроэнергетического режима</w:t>
            </w:r>
            <w:r w:rsidRPr="00D54C45">
              <w:rPr>
                <w:rFonts w:ascii="Garamond" w:hAnsi="Garamond"/>
                <w:szCs w:val="22"/>
              </w:rPr>
              <w:t>, утверждаемыми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комплекса.</w:t>
            </w:r>
          </w:p>
          <w:p w14:paraId="10AC0ED2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 xml:space="preserve">Объем </w:t>
            </w:r>
            <w:r w:rsidRPr="00D54C45">
              <w:rPr>
                <w:rFonts w:ascii="Garamond" w:hAnsi="Garamond"/>
                <w:szCs w:val="22"/>
                <w:highlight w:val="yellow"/>
              </w:rPr>
              <w:t>недостаточного</w:t>
            </w:r>
            <w:r w:rsidRPr="00D54C45">
              <w:rPr>
                <w:rFonts w:ascii="Garamond" w:hAnsi="Garamond"/>
                <w:szCs w:val="22"/>
              </w:rPr>
              <w:t xml:space="preserve"> резерва на загрузку генерирующего оборудования на ТЭС передается СО в КО в составе актуализированной расчетной модели.</w:t>
            </w:r>
          </w:p>
          <w:p w14:paraId="33C14F07" w14:textId="77777777" w:rsidR="00316259" w:rsidRPr="00D54C45" w:rsidRDefault="00316259" w:rsidP="00EC58C4">
            <w:pPr>
              <w:pStyle w:val="subclauseindent"/>
              <w:ind w:left="0"/>
              <w:rPr>
                <w:rFonts w:ascii="Garamond" w:hAnsi="Garamond"/>
                <w:szCs w:val="22"/>
              </w:rPr>
            </w:pPr>
            <w:r w:rsidRPr="00D54C45">
              <w:rPr>
                <w:rFonts w:ascii="Garamond" w:hAnsi="Garamond"/>
                <w:szCs w:val="22"/>
              </w:rPr>
              <w:t>В случае если в отношении рассматриваемых операционных суток СО не передан признак недостаточности резервов на загрузку ТЭС, то описанный механизм ограничения влияния на равновесные цены не применяется.</w:t>
            </w:r>
          </w:p>
          <w:p w14:paraId="1A0196FD" w14:textId="77777777" w:rsidR="00316259" w:rsidRPr="00D54C45" w:rsidRDefault="00316259" w:rsidP="00EC58C4">
            <w:pPr>
              <w:spacing w:before="120" w:after="120" w:line="240" w:lineRule="auto"/>
              <w:ind w:firstLine="500"/>
              <w:jc w:val="both"/>
              <w:rPr>
                <w:rFonts w:ascii="Garamond" w:eastAsia="Times New Roman" w:hAnsi="Garamond" w:cs="Times New Roman"/>
                <w:b/>
                <w:color w:val="000000"/>
                <w:lang w:eastAsia="ru-RU"/>
              </w:rPr>
            </w:pPr>
          </w:p>
        </w:tc>
      </w:tr>
    </w:tbl>
    <w:p w14:paraId="00A41852" w14:textId="5F8D2BF1" w:rsidR="00343F0D" w:rsidRDefault="00343F0D" w:rsidP="007B557F">
      <w:pPr>
        <w:pStyle w:val="2"/>
        <w:numPr>
          <w:ilvl w:val="0"/>
          <w:numId w:val="0"/>
        </w:numPr>
        <w:spacing w:before="0" w:after="0"/>
        <w:jc w:val="left"/>
        <w:rPr>
          <w:rFonts w:ascii="Garamond" w:hAnsi="Garamond"/>
          <w:sz w:val="26"/>
          <w:szCs w:val="26"/>
          <w:lang w:val="ru-RU"/>
        </w:rPr>
      </w:pPr>
      <w:r w:rsidRPr="00D54C45">
        <w:rPr>
          <w:rFonts w:ascii="Garamond" w:hAnsi="Garamond"/>
          <w:sz w:val="26"/>
          <w:szCs w:val="26"/>
          <w:lang w:val="ru-RU"/>
        </w:rPr>
        <w:lastRenderedPageBreak/>
        <w:t xml:space="preserve">Предложения по изменениям и дополнениям в РЕГЛАМЕНТ </w:t>
      </w:r>
      <w:r w:rsidR="00FE5D59" w:rsidRPr="00D54C45">
        <w:rPr>
          <w:rFonts w:ascii="Garamond" w:hAnsi="Garamond"/>
          <w:sz w:val="26"/>
          <w:szCs w:val="26"/>
          <w:lang w:val="ru-RU"/>
        </w:rPr>
        <w:t>ОПЕРАТИВНОГО ДИСПЕТЧЕРСКОГО УПРАВЛЕНИЯ ЭЛЕКТРОЭНЕРГЕТИЧЕСКИМ РЕЖИМОМ ОБЪЕКТОВ УПРАВЛЕНИЯ ЕЭС РОССИИ</w:t>
      </w:r>
      <w:r w:rsidRPr="00D54C45">
        <w:rPr>
          <w:rFonts w:ascii="Garamond" w:hAnsi="Garamond"/>
          <w:sz w:val="26"/>
          <w:szCs w:val="26"/>
          <w:lang w:val="ru-RU"/>
        </w:rPr>
        <w:t xml:space="preserve"> (Приложение № </w:t>
      </w:r>
      <w:r w:rsidR="00FE5D59" w:rsidRPr="00D54C45">
        <w:rPr>
          <w:rFonts w:ascii="Garamond" w:hAnsi="Garamond"/>
          <w:sz w:val="26"/>
          <w:szCs w:val="26"/>
          <w:lang w:val="ru-RU"/>
        </w:rPr>
        <w:t>9</w:t>
      </w:r>
      <w:r w:rsidR="00EC58C4">
        <w:rPr>
          <w:rFonts w:ascii="Garamond" w:hAnsi="Garamond"/>
          <w:sz w:val="26"/>
          <w:szCs w:val="26"/>
          <w:lang w:val="ru-RU"/>
        </w:rPr>
        <w:t xml:space="preserve"> к Договору о </w:t>
      </w:r>
      <w:r w:rsidRPr="00D54C45">
        <w:rPr>
          <w:rFonts w:ascii="Garamond" w:hAnsi="Garamond"/>
          <w:sz w:val="26"/>
          <w:szCs w:val="26"/>
          <w:lang w:val="ru-RU"/>
        </w:rPr>
        <w:t>присоединении к торговой системе оптового рынка)</w:t>
      </w:r>
    </w:p>
    <w:p w14:paraId="45DBAF31" w14:textId="77777777" w:rsidR="007B557F" w:rsidRPr="007B557F" w:rsidRDefault="007B557F" w:rsidP="007B557F">
      <w:pPr>
        <w:pStyle w:val="3"/>
        <w:numPr>
          <w:ilvl w:val="0"/>
          <w:numId w:val="0"/>
        </w:numPr>
        <w:spacing w:before="0" w:after="0"/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973"/>
        <w:gridCol w:w="6975"/>
      </w:tblGrid>
      <w:tr w:rsidR="00343F0D" w:rsidRPr="00B77DD0" w14:paraId="4B0B13B5" w14:textId="77777777" w:rsidTr="00942BE3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C407" w14:textId="77777777" w:rsidR="00343F0D" w:rsidRPr="00B77DD0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77DD0">
              <w:rPr>
                <w:rFonts w:ascii="Garamond" w:eastAsia="Times New Roman" w:hAnsi="Garamond" w:cs="Times New Roman"/>
                <w:b/>
                <w:bCs/>
                <w:lang w:eastAsia="ru-RU"/>
              </w:rPr>
              <w:t>№ пункта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09E6" w14:textId="77777777" w:rsidR="00343F0D" w:rsidRPr="00B77DD0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7DD0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334E9B3A" w14:textId="77777777" w:rsidR="00343F0D" w:rsidRPr="00B77DD0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77DD0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D9FB" w14:textId="77777777" w:rsidR="00343F0D" w:rsidRPr="00B77DD0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B77DD0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1AA87131" w14:textId="77777777" w:rsidR="00343F0D" w:rsidRPr="00B77DD0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77DD0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717BF6" w:rsidRPr="00B77DD0" w14:paraId="029F0E2D" w14:textId="77777777" w:rsidTr="00942BE3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D55C" w14:textId="32F5FA99" w:rsidR="00717BF6" w:rsidRPr="00B77DD0" w:rsidRDefault="007B557F" w:rsidP="00717BF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77DD0">
              <w:rPr>
                <w:rFonts w:ascii="Garamond" w:eastAsia="Times New Roman" w:hAnsi="Garamond" w:cs="Times New Roman"/>
                <w:b/>
                <w:bCs/>
                <w:lang w:eastAsia="ru-RU"/>
              </w:rPr>
              <w:t>6.5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CC4B" w14:textId="77777777" w:rsidR="00917DAD" w:rsidRPr="00B77DD0" w:rsidRDefault="00917DAD" w:rsidP="007B557F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B77DD0">
              <w:rPr>
                <w:rFonts w:ascii="Garamond" w:hAnsi="Garamond"/>
                <w:color w:val="000000"/>
                <w:szCs w:val="22"/>
              </w:rPr>
              <w:t>Определение объема и территориального распределения третичного резерва по загрузке и разгрузке оборудования осуществляется СО.</w:t>
            </w:r>
          </w:p>
          <w:p w14:paraId="05B210A0" w14:textId="77777777" w:rsidR="00717BF6" w:rsidRPr="00B77DD0" w:rsidRDefault="00717BF6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7729" w14:textId="77777777" w:rsidR="00BC64FD" w:rsidRPr="00B77DD0" w:rsidRDefault="00917DAD" w:rsidP="007B557F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B77DD0">
              <w:rPr>
                <w:rFonts w:ascii="Garamond" w:hAnsi="Garamond"/>
                <w:color w:val="000000"/>
                <w:szCs w:val="22"/>
              </w:rPr>
              <w:t>Определение объема и территориального распределения третичного резерва по загрузке и разгрузке оборудования осуществляется СО.</w:t>
            </w:r>
          </w:p>
          <w:p w14:paraId="46CC19BD" w14:textId="23C59A50" w:rsidR="00E04ED2" w:rsidRPr="00B77DD0" w:rsidRDefault="00BC64FD" w:rsidP="007B557F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B77DD0">
              <w:rPr>
                <w:rFonts w:ascii="Garamond" w:hAnsi="Garamond"/>
                <w:color w:val="000000"/>
                <w:szCs w:val="22"/>
                <w:highlight w:val="yellow"/>
              </w:rPr>
              <w:t>Для входящей в состав Дальневосточного федерального округа отдельной территории, ранее относившейся к неценовым зонам</w:t>
            </w:r>
            <w:r w:rsidR="007B557F" w:rsidRPr="00B77DD0">
              <w:rPr>
                <w:rFonts w:ascii="Garamond" w:hAnsi="Garamond"/>
                <w:color w:val="000000"/>
                <w:szCs w:val="22"/>
                <w:highlight w:val="yellow"/>
              </w:rPr>
              <w:t>, в случае</w:t>
            </w:r>
            <w:r w:rsidR="00EB058A" w:rsidRPr="00B77DD0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если в отношении </w:t>
            </w:r>
            <w:r w:rsidR="001C3C82" w:rsidRPr="00B77DD0">
              <w:rPr>
                <w:rFonts w:ascii="Garamond" w:hAnsi="Garamond"/>
                <w:color w:val="000000"/>
                <w:szCs w:val="22"/>
                <w:highlight w:val="yellow"/>
              </w:rPr>
              <w:t>каких</w:t>
            </w:r>
            <w:r w:rsidR="008A70C8" w:rsidRPr="00B77DD0">
              <w:rPr>
                <w:rFonts w:ascii="Garamond" w:hAnsi="Garamond"/>
                <w:color w:val="000000"/>
                <w:szCs w:val="22"/>
                <w:highlight w:val="yellow"/>
              </w:rPr>
              <w:t>-</w:t>
            </w:r>
            <w:r w:rsidR="001C3C82" w:rsidRPr="00B77DD0">
              <w:rPr>
                <w:rFonts w:ascii="Garamond" w:hAnsi="Garamond"/>
                <w:color w:val="000000"/>
                <w:szCs w:val="22"/>
                <w:highlight w:val="yellow"/>
              </w:rPr>
              <w:t xml:space="preserve">либо </w:t>
            </w:r>
            <w:r w:rsidR="00EB058A" w:rsidRPr="00B77DD0">
              <w:rPr>
                <w:rFonts w:ascii="Garamond" w:hAnsi="Garamond"/>
                <w:color w:val="000000"/>
                <w:szCs w:val="22"/>
                <w:highlight w:val="yellow"/>
              </w:rPr>
              <w:t xml:space="preserve">операционных суток СО определена недостаточность резервов на загрузку ТЭС, то СО передает в согласованном формате КО соответствующий признак и объем </w:t>
            </w:r>
            <w:r w:rsidR="00D04251" w:rsidRPr="00B77DD0">
              <w:rPr>
                <w:rFonts w:ascii="Garamond" w:hAnsi="Garamond"/>
                <w:color w:val="000000"/>
                <w:szCs w:val="22"/>
                <w:highlight w:val="yellow"/>
              </w:rPr>
              <w:t>недостаточного</w:t>
            </w:r>
            <w:r w:rsidR="00EB058A" w:rsidRPr="00B77DD0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резерва на загрузку генерирующего оборудования на ТЭС</w:t>
            </w:r>
            <w:r w:rsidR="00F77D4B" w:rsidRPr="00B77DD0">
              <w:rPr>
                <w:rFonts w:ascii="Garamond" w:hAnsi="Garamond"/>
                <w:color w:val="000000"/>
                <w:szCs w:val="22"/>
                <w:highlight w:val="yellow"/>
              </w:rPr>
              <w:t>, а также публикует указанный объем на сайте ОРЭМ СО</w:t>
            </w:r>
            <w:r w:rsidR="00EB058A" w:rsidRPr="00B77DD0">
              <w:rPr>
                <w:rFonts w:ascii="Garamond" w:hAnsi="Garamond"/>
                <w:color w:val="000000"/>
                <w:szCs w:val="22"/>
                <w:highlight w:val="yellow"/>
              </w:rPr>
              <w:t xml:space="preserve">. </w:t>
            </w:r>
            <w:r w:rsidR="00656317" w:rsidRPr="00B77DD0">
              <w:rPr>
                <w:rFonts w:ascii="Garamond" w:hAnsi="Garamond"/>
                <w:color w:val="000000"/>
                <w:szCs w:val="22"/>
                <w:highlight w:val="yellow"/>
              </w:rPr>
              <w:t xml:space="preserve">Объем </w:t>
            </w:r>
            <w:r w:rsidR="00D04251" w:rsidRPr="00B77DD0">
              <w:rPr>
                <w:rFonts w:ascii="Garamond" w:hAnsi="Garamond"/>
                <w:color w:val="000000"/>
                <w:szCs w:val="22"/>
                <w:highlight w:val="yellow"/>
              </w:rPr>
              <w:t>недостаточного</w:t>
            </w:r>
            <w:r w:rsidR="00656317" w:rsidRPr="00B77DD0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резерва на загрузку генерирующего оборудования на ТЭС </w:t>
            </w:r>
            <w:r w:rsidR="007B557F" w:rsidRPr="00B77DD0">
              <w:rPr>
                <w:rFonts w:ascii="Garamond" w:hAnsi="Garamond"/>
                <w:color w:val="000000"/>
                <w:szCs w:val="22"/>
                <w:highlight w:val="yellow"/>
              </w:rPr>
              <w:t>определяется в соответствии с п</w:t>
            </w:r>
            <w:r w:rsidR="00E04ED2" w:rsidRPr="00B77DD0">
              <w:rPr>
                <w:rFonts w:ascii="Garamond" w:hAnsi="Garamond"/>
                <w:color w:val="000000"/>
                <w:szCs w:val="22"/>
                <w:highlight w:val="yellow"/>
              </w:rPr>
              <w:t>риложением 2 к настоящему Регламенту.</w:t>
            </w:r>
          </w:p>
          <w:p w14:paraId="1F044A31" w14:textId="77777777" w:rsidR="00717BF6" w:rsidRPr="00B77DD0" w:rsidRDefault="00717BF6" w:rsidP="007B557F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</w:p>
        </w:tc>
      </w:tr>
      <w:tr w:rsidR="00E04ED2" w:rsidRPr="00B77DD0" w14:paraId="089FF569" w14:textId="77777777" w:rsidTr="00942BE3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75B1" w14:textId="77777777" w:rsidR="00E04ED2" w:rsidRPr="00B77DD0" w:rsidRDefault="00E04ED2" w:rsidP="00717BF6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B77DD0">
              <w:rPr>
                <w:rFonts w:ascii="Garamond" w:eastAsia="Times New Roman" w:hAnsi="Garamond" w:cs="Times New Roman"/>
                <w:b/>
                <w:bCs/>
                <w:lang w:eastAsia="ru-RU"/>
              </w:rPr>
              <w:t>Приложение 2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DAA0" w14:textId="77777777" w:rsidR="00E04ED2" w:rsidRPr="00B77DD0" w:rsidRDefault="00E04ED2" w:rsidP="007B557F">
            <w:pPr>
              <w:pStyle w:val="subclauseindent"/>
              <w:widowControl w:val="0"/>
              <w:ind w:left="0"/>
              <w:rPr>
                <w:rFonts w:ascii="Garamond" w:hAnsi="Garamond"/>
                <w:b/>
                <w:color w:val="000000"/>
                <w:szCs w:val="22"/>
              </w:rPr>
            </w:pPr>
            <w:r w:rsidRPr="00B77DD0">
              <w:rPr>
                <w:rFonts w:ascii="Garamond" w:hAnsi="Garamond"/>
                <w:b/>
                <w:color w:val="000000"/>
                <w:szCs w:val="22"/>
              </w:rPr>
              <w:t>Добавить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F602" w14:textId="77777777" w:rsidR="00E04ED2" w:rsidRPr="00B77DD0" w:rsidRDefault="00E04ED2" w:rsidP="007B557F">
            <w:pPr>
              <w:pStyle w:val="subclauseindent"/>
              <w:widowControl w:val="0"/>
              <w:ind w:left="0"/>
              <w:jc w:val="right"/>
              <w:rPr>
                <w:rFonts w:ascii="Garamond" w:hAnsi="Garamond"/>
                <w:b/>
                <w:color w:val="000000"/>
                <w:szCs w:val="22"/>
              </w:rPr>
            </w:pPr>
            <w:r w:rsidRPr="00B77DD0">
              <w:rPr>
                <w:rFonts w:ascii="Garamond" w:hAnsi="Garamond"/>
                <w:b/>
                <w:color w:val="000000"/>
                <w:szCs w:val="22"/>
              </w:rPr>
              <w:t>Приложение 2</w:t>
            </w:r>
          </w:p>
          <w:p w14:paraId="0B2F61F4" w14:textId="77777777" w:rsidR="00E04ED2" w:rsidRPr="00B77DD0" w:rsidRDefault="00E04ED2" w:rsidP="007B557F">
            <w:pPr>
              <w:pStyle w:val="subclauseindent"/>
              <w:widowControl w:val="0"/>
              <w:ind w:left="0"/>
              <w:rPr>
                <w:rFonts w:ascii="Garamond" w:hAnsi="Garamond"/>
                <w:b/>
                <w:color w:val="000000"/>
                <w:szCs w:val="22"/>
              </w:rPr>
            </w:pPr>
          </w:p>
          <w:p w14:paraId="33CD7C19" w14:textId="77777777" w:rsidR="00E04ED2" w:rsidRPr="00B77DD0" w:rsidRDefault="00DD07E4" w:rsidP="007B557F">
            <w:pPr>
              <w:widowControl w:val="0"/>
              <w:tabs>
                <w:tab w:val="left" w:pos="709"/>
              </w:tabs>
              <w:spacing w:before="120" w:after="120" w:line="240" w:lineRule="auto"/>
              <w:jc w:val="center"/>
              <w:rPr>
                <w:rFonts w:ascii="Garamond" w:eastAsia="Times New Roman" w:hAnsi="Garamond" w:cs="Times New Roman"/>
                <w:b/>
                <w:color w:val="000000"/>
              </w:rPr>
            </w:pPr>
            <w:bookmarkStart w:id="4" w:name="_Hlk81399353"/>
            <w:r w:rsidRPr="00B77DD0">
              <w:rPr>
                <w:rFonts w:ascii="Garamond" w:eastAsia="Times New Roman" w:hAnsi="Garamond" w:cs="Times New Roman"/>
                <w:b/>
                <w:color w:val="000000"/>
              </w:rPr>
              <w:t>Основные принципы о</w:t>
            </w:r>
            <w:r w:rsidR="00E04ED2" w:rsidRPr="00B77DD0">
              <w:rPr>
                <w:rFonts w:ascii="Garamond" w:eastAsia="Times New Roman" w:hAnsi="Garamond" w:cs="Times New Roman"/>
                <w:b/>
                <w:color w:val="000000"/>
              </w:rPr>
              <w:t>пределени</w:t>
            </w:r>
            <w:r w:rsidRPr="00B77DD0">
              <w:rPr>
                <w:rFonts w:ascii="Garamond" w:eastAsia="Times New Roman" w:hAnsi="Garamond" w:cs="Times New Roman"/>
                <w:b/>
                <w:color w:val="000000"/>
              </w:rPr>
              <w:t xml:space="preserve">я </w:t>
            </w:r>
            <w:r w:rsidR="00D04251" w:rsidRPr="00B77DD0">
              <w:rPr>
                <w:rFonts w:ascii="Garamond" w:eastAsia="Times New Roman" w:hAnsi="Garamond" w:cs="Times New Roman"/>
                <w:b/>
                <w:color w:val="000000"/>
              </w:rPr>
              <w:t xml:space="preserve">объемов недостаточного </w:t>
            </w:r>
            <w:r w:rsidR="00E04ED2" w:rsidRPr="00B77DD0">
              <w:rPr>
                <w:rFonts w:ascii="Garamond" w:eastAsia="Times New Roman" w:hAnsi="Garamond" w:cs="Times New Roman"/>
                <w:b/>
                <w:color w:val="000000"/>
              </w:rPr>
              <w:t>резерв</w:t>
            </w:r>
            <w:r w:rsidRPr="00B77DD0">
              <w:rPr>
                <w:rFonts w:ascii="Garamond" w:eastAsia="Times New Roman" w:hAnsi="Garamond" w:cs="Times New Roman"/>
                <w:b/>
                <w:color w:val="000000"/>
              </w:rPr>
              <w:t>а</w:t>
            </w:r>
            <w:r w:rsidR="00E04ED2" w:rsidRPr="00B77DD0">
              <w:rPr>
                <w:rFonts w:ascii="Garamond" w:eastAsia="Times New Roman" w:hAnsi="Garamond" w:cs="Times New Roman"/>
                <w:b/>
                <w:color w:val="000000"/>
              </w:rPr>
              <w:t xml:space="preserve"> на загрузку генерирующего оборудования </w:t>
            </w:r>
            <w:r w:rsidR="001C3C82" w:rsidRPr="00B77DD0">
              <w:rPr>
                <w:rFonts w:ascii="Garamond" w:eastAsia="Times New Roman" w:hAnsi="Garamond" w:cs="Times New Roman"/>
                <w:b/>
                <w:color w:val="000000"/>
              </w:rPr>
              <w:t xml:space="preserve">на </w:t>
            </w:r>
            <w:r w:rsidR="00E04ED2" w:rsidRPr="00B77DD0">
              <w:rPr>
                <w:rFonts w:ascii="Garamond" w:eastAsia="Times New Roman" w:hAnsi="Garamond" w:cs="Times New Roman"/>
                <w:b/>
                <w:color w:val="000000"/>
              </w:rPr>
              <w:t>ТЭС ОЭС Востока</w:t>
            </w:r>
            <w:bookmarkEnd w:id="4"/>
          </w:p>
          <w:p w14:paraId="6D1E963C" w14:textId="77777777" w:rsidR="00E04ED2" w:rsidRPr="00B77DD0" w:rsidRDefault="00E04ED2" w:rsidP="007B557F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</w:p>
          <w:p w14:paraId="49765CC1" w14:textId="77777777" w:rsidR="00DD07E4" w:rsidRPr="00B77DD0" w:rsidRDefault="00DD07E4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 xml:space="preserve">Определение объемов </w:t>
            </w:r>
            <w:r w:rsidR="00D04251" w:rsidRPr="00B77DD0">
              <w:rPr>
                <w:rFonts w:ascii="Garamond" w:hAnsi="Garamond"/>
              </w:rPr>
              <w:t>недостаточного</w:t>
            </w:r>
            <w:r w:rsidRPr="00B77DD0">
              <w:rPr>
                <w:rFonts w:ascii="Garamond" w:hAnsi="Garamond"/>
              </w:rPr>
              <w:t xml:space="preserve"> резерва на загрузку генерирующего оборудования </w:t>
            </w:r>
            <w:r w:rsidR="001C3C82" w:rsidRPr="00B77DD0">
              <w:rPr>
                <w:rFonts w:ascii="Garamond" w:hAnsi="Garamond"/>
              </w:rPr>
              <w:t xml:space="preserve">на </w:t>
            </w:r>
            <w:r w:rsidRPr="00B77DD0">
              <w:rPr>
                <w:rFonts w:ascii="Garamond" w:hAnsi="Garamond"/>
              </w:rPr>
              <w:t xml:space="preserve">ТЭС ОЭС Востока осуществляется </w:t>
            </w:r>
            <w:r w:rsidR="00811279" w:rsidRPr="00B77DD0">
              <w:rPr>
                <w:rFonts w:ascii="Garamond" w:hAnsi="Garamond"/>
              </w:rPr>
              <w:t xml:space="preserve">в процессе актуализации расчетной модели на операционные сутки </w:t>
            </w:r>
            <w:r w:rsidRPr="00B77DD0">
              <w:rPr>
                <w:rFonts w:ascii="Garamond" w:hAnsi="Garamond"/>
              </w:rPr>
              <w:t>в следующей последовательности.</w:t>
            </w:r>
          </w:p>
          <w:p w14:paraId="5CD133C0" w14:textId="71B3775E" w:rsidR="00E71330" w:rsidRPr="00B77DD0" w:rsidRDefault="00E71330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1. </w:t>
            </w:r>
            <w:r w:rsidR="007F7363" w:rsidRPr="00B77DD0">
              <w:rPr>
                <w:rFonts w:ascii="Garamond" w:hAnsi="Garamond"/>
              </w:rPr>
              <w:t>В</w:t>
            </w:r>
            <w:r w:rsidRPr="00B77DD0">
              <w:rPr>
                <w:rFonts w:ascii="Garamond" w:hAnsi="Garamond"/>
              </w:rPr>
              <w:t xml:space="preserve"> соответствии с Методическими указаниями по определению объемов и размещению резервов активной мощности в Единой энергетической системе России при краткосрочном планировании электроэнергетического режима, утвержденными приказом Минэнерго России от 15.10.2018 № 882, </w:t>
            </w:r>
            <w:r w:rsidR="002D24A6" w:rsidRPr="00B77DD0">
              <w:rPr>
                <w:rFonts w:ascii="Garamond" w:hAnsi="Garamond"/>
              </w:rPr>
              <w:t>определя</w:t>
            </w:r>
            <w:r w:rsidRPr="00B77DD0">
              <w:rPr>
                <w:rFonts w:ascii="Garamond" w:hAnsi="Garamond"/>
              </w:rPr>
              <w:t>ю</w:t>
            </w:r>
            <w:r w:rsidR="00EC5597" w:rsidRPr="00B77DD0">
              <w:rPr>
                <w:rFonts w:ascii="Garamond" w:hAnsi="Garamond"/>
              </w:rPr>
              <w:t>тся</w:t>
            </w:r>
            <w:r w:rsidR="002D24A6" w:rsidRPr="00B77DD0">
              <w:rPr>
                <w:rFonts w:ascii="Garamond" w:hAnsi="Garamond"/>
              </w:rPr>
              <w:t xml:space="preserve"> </w:t>
            </w:r>
            <w:r w:rsidRPr="00B77DD0">
              <w:rPr>
                <w:rFonts w:ascii="Garamond" w:hAnsi="Garamond"/>
              </w:rPr>
              <w:t xml:space="preserve">следующие </w:t>
            </w:r>
            <w:r w:rsidR="00EC5597" w:rsidRPr="00B77DD0">
              <w:rPr>
                <w:rFonts w:ascii="Garamond" w:hAnsi="Garamond"/>
              </w:rPr>
              <w:t>вел</w:t>
            </w:r>
            <w:r w:rsidR="002D24A6" w:rsidRPr="00B77DD0">
              <w:rPr>
                <w:rFonts w:ascii="Garamond" w:hAnsi="Garamond"/>
              </w:rPr>
              <w:t>ичин</w:t>
            </w:r>
            <w:r w:rsidR="00277EA6" w:rsidRPr="00B77DD0">
              <w:rPr>
                <w:rFonts w:ascii="Garamond" w:hAnsi="Garamond"/>
              </w:rPr>
              <w:t>ы</w:t>
            </w:r>
            <w:r w:rsidRPr="00B77DD0">
              <w:rPr>
                <w:rFonts w:ascii="Garamond" w:hAnsi="Garamond"/>
              </w:rPr>
              <w:t>:</w:t>
            </w:r>
          </w:p>
          <w:p w14:paraId="60BB2C35" w14:textId="4D683867" w:rsidR="00E71330" w:rsidRPr="00B77DD0" w:rsidRDefault="00E71330" w:rsidP="007B557F">
            <w:pPr>
              <w:pStyle w:val="af1"/>
              <w:widowControl w:val="0"/>
              <w:numPr>
                <w:ilvl w:val="0"/>
                <w:numId w:val="42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77DD0">
              <w:rPr>
                <w:rFonts w:ascii="Garamond" w:hAnsi="Garamond"/>
                <w:sz w:val="22"/>
                <w:szCs w:val="22"/>
              </w:rPr>
              <w:lastRenderedPageBreak/>
              <w:t>Rртр_норм – нормативный объем резерва третичного регулирования (РТР) на загрузку</w:t>
            </w:r>
            <w:r w:rsidR="00527841">
              <w:rPr>
                <w:rFonts w:ascii="Garamond" w:hAnsi="Garamond"/>
                <w:sz w:val="22"/>
                <w:szCs w:val="22"/>
              </w:rPr>
              <w:t>;</w:t>
            </w:r>
          </w:p>
          <w:p w14:paraId="079BD6D5" w14:textId="77777777" w:rsidR="00FD4FA5" w:rsidRPr="00B77DD0" w:rsidRDefault="00E71330" w:rsidP="007B557F">
            <w:pPr>
              <w:pStyle w:val="af1"/>
              <w:widowControl w:val="0"/>
              <w:numPr>
                <w:ilvl w:val="0"/>
                <w:numId w:val="42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B77DD0">
              <w:rPr>
                <w:rFonts w:ascii="Garamond" w:hAnsi="Garamond"/>
                <w:sz w:val="22"/>
                <w:szCs w:val="22"/>
              </w:rPr>
              <w:t>dPав</w:t>
            </w:r>
            <w:r w:rsidR="00EC5597" w:rsidRPr="00B77DD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7DD0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="00FD4FA5" w:rsidRPr="00B77DD0">
              <w:rPr>
                <w:rFonts w:ascii="Garamond" w:hAnsi="Garamond"/>
                <w:sz w:val="22"/>
                <w:szCs w:val="22"/>
              </w:rPr>
              <w:t>минимально необходим</w:t>
            </w:r>
            <w:r w:rsidR="00EC5597" w:rsidRPr="00B77DD0">
              <w:rPr>
                <w:rFonts w:ascii="Garamond" w:hAnsi="Garamond"/>
                <w:sz w:val="22"/>
                <w:szCs w:val="22"/>
              </w:rPr>
              <w:t>ого</w:t>
            </w:r>
            <w:r w:rsidR="00FD4FA5" w:rsidRPr="00B77DD0">
              <w:rPr>
                <w:rFonts w:ascii="Garamond" w:hAnsi="Garamond"/>
                <w:sz w:val="22"/>
                <w:szCs w:val="22"/>
              </w:rPr>
              <w:t xml:space="preserve"> объем РТР</w:t>
            </w:r>
            <w:r w:rsidR="00277EA6" w:rsidRPr="00B77DD0">
              <w:rPr>
                <w:rFonts w:ascii="Garamond" w:hAnsi="Garamond"/>
                <w:sz w:val="22"/>
                <w:szCs w:val="22"/>
              </w:rPr>
              <w:t xml:space="preserve"> на загрузку</w:t>
            </w:r>
            <w:r w:rsidR="00684194" w:rsidRPr="00B77DD0">
              <w:rPr>
                <w:rFonts w:ascii="Garamond" w:hAnsi="Garamond"/>
                <w:sz w:val="22"/>
                <w:szCs w:val="22"/>
              </w:rPr>
              <w:t>.</w:t>
            </w:r>
          </w:p>
          <w:p w14:paraId="008D5A3D" w14:textId="27ED728C" w:rsidR="009053DD" w:rsidRPr="00B77DD0" w:rsidRDefault="00EC5597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2. </w:t>
            </w:r>
            <w:r w:rsidR="007F7363" w:rsidRPr="00B77DD0">
              <w:rPr>
                <w:rFonts w:ascii="Garamond" w:hAnsi="Garamond"/>
              </w:rPr>
              <w:t>О</w:t>
            </w:r>
            <w:r w:rsidR="00E71330" w:rsidRPr="00B77DD0">
              <w:rPr>
                <w:rFonts w:ascii="Garamond" w:hAnsi="Garamond"/>
              </w:rPr>
              <w:t>пределяется дефицит резервов третичного регулирования ТЭС за</w:t>
            </w:r>
            <w:r w:rsidR="009053DD" w:rsidRPr="00B77DD0">
              <w:rPr>
                <w:rFonts w:ascii="Garamond" w:hAnsi="Garamond"/>
              </w:rPr>
              <w:t xml:space="preserve"> контролируемыми сечениями (каскадами контролируемых сечений)</w:t>
            </w:r>
            <w:r w:rsidR="00E71330" w:rsidRPr="00B77DD0">
              <w:rPr>
                <w:rFonts w:ascii="Garamond" w:hAnsi="Garamond"/>
              </w:rPr>
              <w:t xml:space="preserve"> в режиме N-1</w:t>
            </w:r>
            <w:r w:rsidR="009053DD" w:rsidRPr="00B77DD0">
              <w:rPr>
                <w:rFonts w:ascii="Garamond" w:hAnsi="Garamond"/>
              </w:rPr>
              <w:t>:</w:t>
            </w:r>
          </w:p>
          <w:p w14:paraId="49CB73C2" w14:textId="69A471D3" w:rsidR="00E71330" w:rsidRPr="00B77DD0" w:rsidRDefault="00AA7485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2.1. Д</w:t>
            </w:r>
            <w:r w:rsidR="009053DD" w:rsidRPr="00B77DD0">
              <w:rPr>
                <w:rFonts w:ascii="Garamond" w:hAnsi="Garamond"/>
              </w:rPr>
              <w:t xml:space="preserve">ля каждого </w:t>
            </w:r>
            <w:r w:rsidR="009053DD" w:rsidRPr="001E54E4">
              <w:rPr>
                <w:rFonts w:ascii="Garamond" w:hAnsi="Garamond"/>
                <w:i/>
              </w:rPr>
              <w:t>i</w:t>
            </w:r>
            <w:r w:rsidR="009053DD" w:rsidRPr="00B77DD0">
              <w:rPr>
                <w:rFonts w:ascii="Garamond" w:hAnsi="Garamond"/>
              </w:rPr>
              <w:t>-</w:t>
            </w:r>
            <w:proofErr w:type="spellStart"/>
            <w:r w:rsidR="009053DD" w:rsidRPr="00B77DD0">
              <w:rPr>
                <w:rFonts w:ascii="Garamond" w:hAnsi="Garamond"/>
              </w:rPr>
              <w:t>го</w:t>
            </w:r>
            <w:proofErr w:type="spellEnd"/>
            <w:r w:rsidR="009053DD" w:rsidRPr="00B77DD0">
              <w:rPr>
                <w:rFonts w:ascii="Garamond" w:hAnsi="Garamond"/>
              </w:rPr>
              <w:t xml:space="preserve"> контролируемого сечения</w:t>
            </w:r>
            <w:r w:rsidR="00152F15" w:rsidRPr="00B77DD0">
              <w:rPr>
                <w:rFonts w:ascii="Garamond" w:hAnsi="Garamond"/>
              </w:rPr>
              <w:t>:</w:t>
            </w:r>
          </w:p>
          <w:p w14:paraId="1D24A9A7" w14:textId="07962538" w:rsidR="00E71330" w:rsidRPr="00DF650F" w:rsidRDefault="00E71330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lang w:val="en-US"/>
              </w:rPr>
            </w:pPr>
            <w:r w:rsidRPr="00B77DD0">
              <w:rPr>
                <w:rFonts w:ascii="Garamond" w:hAnsi="Garamond"/>
                <w:lang w:val="en-US"/>
              </w:rPr>
              <w:t>dR</w:t>
            </w:r>
            <w:r w:rsidR="006F58EB" w:rsidRPr="00B77DD0">
              <w:rPr>
                <w:rFonts w:ascii="Garamond" w:hAnsi="Garamond"/>
                <w:lang w:val="en-US"/>
              </w:rPr>
              <w:t>1</w:t>
            </w:r>
            <w:r w:rsidR="00243FAB" w:rsidRPr="00B77DD0">
              <w:rPr>
                <w:rFonts w:ascii="Garamond" w:hAnsi="Garamond"/>
                <w:lang w:val="en-US"/>
              </w:rPr>
              <w:t>_</w:t>
            </w:r>
            <w:r w:rsidRPr="00B77DD0">
              <w:rPr>
                <w:rFonts w:ascii="Garamond" w:hAnsi="Garamond"/>
                <w:lang w:val="en-US"/>
              </w:rPr>
              <w:t xml:space="preserve">i = </w:t>
            </w:r>
            <w:proofErr w:type="spellStart"/>
            <w:r w:rsidRPr="00B77DD0">
              <w:rPr>
                <w:rFonts w:ascii="Garamond" w:hAnsi="Garamond"/>
                <w:lang w:val="en-US"/>
              </w:rPr>
              <w:t>dP</w:t>
            </w:r>
            <w:r w:rsidRPr="00B77DD0">
              <w:rPr>
                <w:rFonts w:ascii="Garamond" w:hAnsi="Garamond"/>
              </w:rPr>
              <w:t>ав</w:t>
            </w:r>
            <w:proofErr w:type="spellEnd"/>
            <w:r w:rsidR="00243FAB" w:rsidRPr="00B77DD0">
              <w:rPr>
                <w:rFonts w:ascii="Garamond" w:hAnsi="Garamond"/>
                <w:lang w:val="en-US"/>
              </w:rPr>
              <w:t>_</w:t>
            </w:r>
            <w:proofErr w:type="spellStart"/>
            <w:r w:rsidR="00645F49" w:rsidRPr="00B77DD0">
              <w:rPr>
                <w:rFonts w:ascii="Garamond" w:hAnsi="Garamond"/>
                <w:lang w:val="en-US"/>
              </w:rPr>
              <w:t>i</w:t>
            </w:r>
            <w:proofErr w:type="spellEnd"/>
            <w:r w:rsidRPr="00B77DD0">
              <w:rPr>
                <w:rFonts w:ascii="Garamond" w:hAnsi="Garamond"/>
                <w:lang w:val="en-US"/>
              </w:rPr>
              <w:t xml:space="preserve"> </w:t>
            </w:r>
            <w:r w:rsidR="00243FAB" w:rsidRPr="00B77DD0">
              <w:rPr>
                <w:rFonts w:ascii="Garamond" w:hAnsi="Garamond"/>
                <w:lang w:val="en-US"/>
              </w:rPr>
              <w:t>–</w:t>
            </w:r>
            <w:r w:rsidRPr="00B77DD0">
              <w:rPr>
                <w:rFonts w:ascii="Garamond" w:hAnsi="Garamond"/>
                <w:lang w:val="en-US"/>
              </w:rPr>
              <w:t xml:space="preserve"> </w:t>
            </w:r>
            <w:proofErr w:type="spellStart"/>
            <w:r w:rsidRPr="00B77DD0">
              <w:rPr>
                <w:rFonts w:ascii="Garamond" w:hAnsi="Garamond"/>
                <w:lang w:val="en-US"/>
              </w:rPr>
              <w:t>dP</w:t>
            </w:r>
            <w:proofErr w:type="spellEnd"/>
            <w:r w:rsidRPr="00B77DD0">
              <w:rPr>
                <w:rFonts w:ascii="Garamond" w:hAnsi="Garamond"/>
              </w:rPr>
              <w:t>сеч</w:t>
            </w:r>
            <w:r w:rsidR="00243FAB" w:rsidRPr="00B77DD0">
              <w:rPr>
                <w:rFonts w:ascii="Garamond" w:hAnsi="Garamond"/>
                <w:lang w:val="en-US"/>
              </w:rPr>
              <w:t>_</w:t>
            </w:r>
            <w:proofErr w:type="spellStart"/>
            <w:r w:rsidRPr="00B77DD0">
              <w:rPr>
                <w:rFonts w:ascii="Garamond" w:hAnsi="Garamond"/>
                <w:lang w:val="en-US"/>
              </w:rPr>
              <w:t>i</w:t>
            </w:r>
            <w:proofErr w:type="spellEnd"/>
            <w:r w:rsidRPr="00B77DD0">
              <w:rPr>
                <w:rFonts w:ascii="Garamond" w:hAnsi="Garamond"/>
                <w:lang w:val="en-US"/>
              </w:rPr>
              <w:t xml:space="preserve"> </w:t>
            </w:r>
            <w:r w:rsidR="00243FAB" w:rsidRPr="00B77DD0">
              <w:rPr>
                <w:rFonts w:ascii="Garamond" w:hAnsi="Garamond"/>
                <w:lang w:val="en-US"/>
              </w:rPr>
              <w:t>–</w:t>
            </w:r>
            <w:r w:rsidRPr="00B77DD0">
              <w:rPr>
                <w:rFonts w:ascii="Garamond" w:hAnsi="Garamond"/>
                <w:lang w:val="en-US"/>
              </w:rPr>
              <w:t xml:space="preserve"> </w:t>
            </w:r>
            <w:proofErr w:type="spellStart"/>
            <w:r w:rsidRPr="00B77DD0">
              <w:rPr>
                <w:rFonts w:ascii="Garamond" w:hAnsi="Garamond"/>
              </w:rPr>
              <w:t>Рртр</w:t>
            </w:r>
            <w:proofErr w:type="spellEnd"/>
            <w:r w:rsidRPr="00B77DD0">
              <w:rPr>
                <w:rFonts w:ascii="Garamond" w:hAnsi="Garamond"/>
                <w:lang w:val="en-US"/>
              </w:rPr>
              <w:t>_</w:t>
            </w:r>
            <w:proofErr w:type="spellStart"/>
            <w:r w:rsidRPr="00B77DD0">
              <w:rPr>
                <w:rFonts w:ascii="Garamond" w:hAnsi="Garamond"/>
              </w:rPr>
              <w:t>тэс</w:t>
            </w:r>
            <w:proofErr w:type="spellEnd"/>
            <w:r w:rsidR="00243FAB" w:rsidRPr="00B77DD0">
              <w:rPr>
                <w:rFonts w:ascii="Garamond" w:hAnsi="Garamond"/>
                <w:lang w:val="en-US"/>
              </w:rPr>
              <w:t>_</w:t>
            </w:r>
            <w:proofErr w:type="spellStart"/>
            <w:r w:rsidRPr="00B77DD0">
              <w:rPr>
                <w:rFonts w:ascii="Garamond" w:hAnsi="Garamond"/>
                <w:lang w:val="en-US"/>
              </w:rPr>
              <w:t>i</w:t>
            </w:r>
            <w:proofErr w:type="spellEnd"/>
            <w:r w:rsidRPr="00B77DD0">
              <w:rPr>
                <w:rFonts w:ascii="Garamond" w:hAnsi="Garamond"/>
                <w:lang w:val="en-US"/>
              </w:rPr>
              <w:t xml:space="preserve"> </w:t>
            </w:r>
            <w:r w:rsidR="00243FAB" w:rsidRPr="00B77DD0">
              <w:rPr>
                <w:rFonts w:ascii="Garamond" w:hAnsi="Garamond"/>
                <w:lang w:val="en-US"/>
              </w:rPr>
              <w:t>–</w:t>
            </w:r>
            <w:r w:rsidRPr="00B77DD0">
              <w:rPr>
                <w:rFonts w:ascii="Garamond" w:hAnsi="Garamond"/>
                <w:lang w:val="en-US"/>
              </w:rPr>
              <w:t xml:space="preserve"> P</w:t>
            </w:r>
            <w:proofErr w:type="spellStart"/>
            <w:r w:rsidRPr="00B77DD0">
              <w:rPr>
                <w:rFonts w:ascii="Garamond" w:hAnsi="Garamond"/>
              </w:rPr>
              <w:t>хр</w:t>
            </w:r>
            <w:proofErr w:type="spellEnd"/>
            <w:r w:rsidR="00243FAB" w:rsidRPr="00B77DD0">
              <w:rPr>
                <w:rFonts w:ascii="Garamond" w:hAnsi="Garamond"/>
                <w:lang w:val="en-US"/>
              </w:rPr>
              <w:t>_</w:t>
            </w:r>
            <w:proofErr w:type="spellStart"/>
            <w:r w:rsidRPr="00B77DD0">
              <w:rPr>
                <w:rFonts w:ascii="Garamond" w:hAnsi="Garamond"/>
                <w:lang w:val="en-US"/>
              </w:rPr>
              <w:t>i</w:t>
            </w:r>
            <w:proofErr w:type="spellEnd"/>
            <w:r w:rsidR="00DF650F" w:rsidRPr="00DF650F">
              <w:rPr>
                <w:rFonts w:ascii="Garamond" w:hAnsi="Garamond"/>
                <w:lang w:val="en-US"/>
              </w:rPr>
              <w:t>,</w:t>
            </w:r>
          </w:p>
          <w:p w14:paraId="228D383F" w14:textId="10BFAD71" w:rsidR="00E71330" w:rsidRPr="00B77DD0" w:rsidRDefault="00E71330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где</w:t>
            </w:r>
          </w:p>
          <w:p w14:paraId="1EB394CB" w14:textId="774473BC" w:rsidR="00E71330" w:rsidRPr="00B77DD0" w:rsidRDefault="00E71330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dPсеч</w:t>
            </w:r>
            <w:r w:rsidR="00243FAB" w:rsidRPr="00B77DD0">
              <w:rPr>
                <w:rFonts w:ascii="Garamond" w:hAnsi="Garamond"/>
              </w:rPr>
              <w:t>_</w:t>
            </w:r>
            <w:r w:rsidRPr="00B77DD0">
              <w:rPr>
                <w:rFonts w:ascii="Garamond" w:hAnsi="Garamond"/>
              </w:rPr>
              <w:t>i</w:t>
            </w:r>
            <w:r w:rsidR="00243FAB" w:rsidRPr="00B77DD0">
              <w:rPr>
                <w:rFonts w:ascii="Garamond" w:hAnsi="Garamond"/>
              </w:rPr>
              <w:t xml:space="preserve"> = (</w:t>
            </w:r>
            <w:proofErr w:type="spellStart"/>
            <w:r w:rsidR="00243FAB" w:rsidRPr="00B77DD0">
              <w:rPr>
                <w:rFonts w:ascii="Garamond" w:hAnsi="Garamond"/>
              </w:rPr>
              <w:t>Рмдп_i</w:t>
            </w:r>
            <w:proofErr w:type="spellEnd"/>
            <w:r w:rsidR="00243FAB" w:rsidRPr="00B77DD0">
              <w:rPr>
                <w:rFonts w:ascii="Garamond" w:hAnsi="Garamond"/>
              </w:rPr>
              <w:t xml:space="preserve"> – </w:t>
            </w:r>
            <w:proofErr w:type="spellStart"/>
            <w:r w:rsidR="00243FAB" w:rsidRPr="00B77DD0">
              <w:rPr>
                <w:rFonts w:ascii="Garamond" w:hAnsi="Garamond"/>
              </w:rPr>
              <w:t>Рпереток_i</w:t>
            </w:r>
            <w:proofErr w:type="spellEnd"/>
            <w:r w:rsidR="00243FAB" w:rsidRPr="00B77DD0">
              <w:rPr>
                <w:rFonts w:ascii="Garamond" w:hAnsi="Garamond"/>
              </w:rPr>
              <w:t>)</w:t>
            </w:r>
            <w:r w:rsidRPr="00B77DD0">
              <w:rPr>
                <w:rFonts w:ascii="Garamond" w:hAnsi="Garamond"/>
              </w:rPr>
              <w:t xml:space="preserve"> </w:t>
            </w:r>
            <w:r w:rsidR="001E54E4" w:rsidRPr="003E0AA7">
              <w:rPr>
                <w:rFonts w:ascii="Garamond" w:hAnsi="Garamond"/>
              </w:rPr>
              <w:t>–</w:t>
            </w:r>
            <w:r w:rsidR="001E54E4">
              <w:rPr>
                <w:rFonts w:ascii="Garamond" w:hAnsi="Garamond"/>
              </w:rPr>
              <w:t xml:space="preserve"> </w:t>
            </w:r>
            <w:r w:rsidRPr="00B77DD0">
              <w:rPr>
                <w:rFonts w:ascii="Garamond" w:hAnsi="Garamond"/>
              </w:rPr>
              <w:t xml:space="preserve">запас пропускной способности </w:t>
            </w:r>
            <w:r w:rsidR="00243FAB" w:rsidRPr="001E54E4">
              <w:rPr>
                <w:rFonts w:ascii="Garamond" w:hAnsi="Garamond"/>
                <w:i/>
              </w:rPr>
              <w:t>i</w:t>
            </w:r>
            <w:r w:rsidR="00243FAB" w:rsidRPr="00B77DD0">
              <w:rPr>
                <w:rFonts w:ascii="Garamond" w:hAnsi="Garamond"/>
              </w:rPr>
              <w:t>-</w:t>
            </w:r>
            <w:proofErr w:type="spellStart"/>
            <w:r w:rsidR="00243FAB" w:rsidRPr="00B77DD0">
              <w:rPr>
                <w:rFonts w:ascii="Garamond" w:hAnsi="Garamond"/>
              </w:rPr>
              <w:t>го</w:t>
            </w:r>
            <w:proofErr w:type="spellEnd"/>
            <w:r w:rsidR="00243FAB" w:rsidRPr="00B77DD0">
              <w:rPr>
                <w:rFonts w:ascii="Garamond" w:hAnsi="Garamond"/>
              </w:rPr>
              <w:t xml:space="preserve"> </w:t>
            </w:r>
            <w:r w:rsidRPr="00B77DD0">
              <w:rPr>
                <w:rFonts w:ascii="Garamond" w:hAnsi="Garamond"/>
              </w:rPr>
              <w:t>контролируемого сечения</w:t>
            </w:r>
            <w:r w:rsidR="001E54E4">
              <w:rPr>
                <w:rFonts w:ascii="Garamond" w:hAnsi="Garamond"/>
              </w:rPr>
              <w:t>,</w:t>
            </w:r>
            <w:r w:rsidRPr="00B77DD0">
              <w:rPr>
                <w:rFonts w:ascii="Garamond" w:hAnsi="Garamond"/>
              </w:rPr>
              <w:t xml:space="preserve"> </w:t>
            </w:r>
            <w:r w:rsidR="00243FAB" w:rsidRPr="00B77DD0">
              <w:rPr>
                <w:rFonts w:ascii="Garamond" w:hAnsi="Garamond"/>
              </w:rPr>
              <w:t>равный разнице между</w:t>
            </w:r>
            <w:r w:rsidRPr="00B77DD0">
              <w:rPr>
                <w:rFonts w:ascii="Garamond" w:hAnsi="Garamond"/>
              </w:rPr>
              <w:t xml:space="preserve"> МДП</w:t>
            </w:r>
            <w:r w:rsidR="00243FAB" w:rsidRPr="00B77DD0">
              <w:rPr>
                <w:rFonts w:ascii="Garamond" w:hAnsi="Garamond"/>
              </w:rPr>
              <w:t xml:space="preserve"> в данном сечении и величиной прогнозируемого перетока</w:t>
            </w:r>
            <w:r w:rsidRPr="00B77DD0">
              <w:rPr>
                <w:rFonts w:ascii="Garamond" w:hAnsi="Garamond"/>
              </w:rPr>
              <w:t>;</w:t>
            </w:r>
          </w:p>
          <w:p w14:paraId="6A5FE34B" w14:textId="481E412D" w:rsidR="00E71330" w:rsidRPr="00B77DD0" w:rsidRDefault="00E71330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Рртр_тэс</w:t>
            </w:r>
            <w:r w:rsidR="00243FAB" w:rsidRPr="00B77DD0">
              <w:rPr>
                <w:rFonts w:ascii="Garamond" w:hAnsi="Garamond"/>
              </w:rPr>
              <w:t>_</w:t>
            </w:r>
            <w:r w:rsidR="00645F49" w:rsidRPr="00B77DD0">
              <w:rPr>
                <w:rFonts w:ascii="Garamond" w:hAnsi="Garamond"/>
              </w:rPr>
              <w:t>i</w:t>
            </w:r>
            <w:r w:rsidR="00243FAB" w:rsidRPr="00B77DD0">
              <w:rPr>
                <w:rFonts w:ascii="Garamond" w:hAnsi="Garamond"/>
              </w:rPr>
              <w:t xml:space="preserve"> </w:t>
            </w:r>
            <w:r w:rsidR="00645F49" w:rsidRPr="00B77DD0">
              <w:rPr>
                <w:rFonts w:ascii="Garamond" w:hAnsi="Garamond"/>
              </w:rPr>
              <w:t>=</w:t>
            </w:r>
            <w:r w:rsidR="00243FAB" w:rsidRPr="00B77DD0">
              <w:rPr>
                <w:rFonts w:ascii="Garamond" w:hAnsi="Garamond"/>
              </w:rPr>
              <w:t xml:space="preserve"> (</w:t>
            </w:r>
            <w:proofErr w:type="spellStart"/>
            <w:r w:rsidR="00645F49" w:rsidRPr="00B77DD0">
              <w:rPr>
                <w:rFonts w:ascii="Garamond" w:hAnsi="Garamond"/>
              </w:rPr>
              <w:t>Рмакс_</w:t>
            </w:r>
            <w:r w:rsidR="00243FAB" w:rsidRPr="00B77DD0">
              <w:rPr>
                <w:rFonts w:ascii="Garamond" w:hAnsi="Garamond"/>
              </w:rPr>
              <w:t>тэс_</w:t>
            </w:r>
            <w:r w:rsidR="00645F49" w:rsidRPr="00B77DD0">
              <w:rPr>
                <w:rFonts w:ascii="Garamond" w:hAnsi="Garamond"/>
              </w:rPr>
              <w:t>i</w:t>
            </w:r>
            <w:proofErr w:type="spellEnd"/>
            <w:r w:rsidR="00645F49" w:rsidRPr="00B77DD0">
              <w:rPr>
                <w:rFonts w:ascii="Garamond" w:hAnsi="Garamond"/>
              </w:rPr>
              <w:t xml:space="preserve"> – </w:t>
            </w:r>
            <w:proofErr w:type="spellStart"/>
            <w:r w:rsidR="00645F49" w:rsidRPr="00B77DD0">
              <w:rPr>
                <w:rFonts w:ascii="Garamond" w:hAnsi="Garamond"/>
              </w:rPr>
              <w:t>Р</w:t>
            </w:r>
            <w:r w:rsidR="00243FAB" w:rsidRPr="00B77DD0">
              <w:rPr>
                <w:rFonts w:ascii="Garamond" w:hAnsi="Garamond"/>
              </w:rPr>
              <w:t>тэс_</w:t>
            </w:r>
            <w:r w:rsidR="00645F49" w:rsidRPr="00B77DD0">
              <w:rPr>
                <w:rFonts w:ascii="Garamond" w:hAnsi="Garamond"/>
              </w:rPr>
              <w:t>i</w:t>
            </w:r>
            <w:proofErr w:type="spellEnd"/>
            <w:r w:rsidR="00243FAB" w:rsidRPr="00B77DD0">
              <w:rPr>
                <w:rFonts w:ascii="Garamond" w:hAnsi="Garamond"/>
              </w:rPr>
              <w:t>)</w:t>
            </w:r>
            <w:r w:rsidRPr="00B77DD0">
              <w:rPr>
                <w:rFonts w:ascii="Garamond" w:hAnsi="Garamond"/>
              </w:rPr>
              <w:t xml:space="preserve"> </w:t>
            </w:r>
            <w:r w:rsidR="001E54E4" w:rsidRPr="003E0AA7">
              <w:rPr>
                <w:rFonts w:ascii="Garamond" w:hAnsi="Garamond"/>
              </w:rPr>
              <w:t>–</w:t>
            </w:r>
            <w:r w:rsidR="001E54E4">
              <w:rPr>
                <w:rFonts w:ascii="Garamond" w:hAnsi="Garamond"/>
              </w:rPr>
              <w:t xml:space="preserve"> </w:t>
            </w:r>
            <w:r w:rsidRPr="00B77DD0">
              <w:rPr>
                <w:rFonts w:ascii="Garamond" w:hAnsi="Garamond"/>
              </w:rPr>
              <w:t xml:space="preserve">резерв третичного регулирования на загрузку ТЭС, расположенных за </w:t>
            </w:r>
            <w:r w:rsidR="00645F49" w:rsidRPr="001E54E4">
              <w:rPr>
                <w:rFonts w:ascii="Garamond" w:hAnsi="Garamond"/>
                <w:i/>
              </w:rPr>
              <w:t>i</w:t>
            </w:r>
            <w:r w:rsidR="00645F49" w:rsidRPr="00B77DD0">
              <w:rPr>
                <w:rFonts w:ascii="Garamond" w:hAnsi="Garamond"/>
              </w:rPr>
              <w:t xml:space="preserve">-м </w:t>
            </w:r>
            <w:r w:rsidRPr="00B77DD0">
              <w:rPr>
                <w:rFonts w:ascii="Garamond" w:hAnsi="Garamond"/>
              </w:rPr>
              <w:t>контролируемым сечением с учетом ограничений по выпуску мощности этих ТЭС в сторону рассматриваемого контролируемого сечения</w:t>
            </w:r>
            <w:r w:rsidR="001E54E4">
              <w:rPr>
                <w:rFonts w:ascii="Garamond" w:hAnsi="Garamond"/>
              </w:rPr>
              <w:t>,</w:t>
            </w:r>
            <w:r w:rsidR="00243FAB" w:rsidRPr="00B77DD0">
              <w:rPr>
                <w:rFonts w:ascii="Garamond" w:hAnsi="Garamond"/>
              </w:rPr>
              <w:t xml:space="preserve"> равный разнице между заявленной максимальной мощностью данных ТЭС и прогнозируемой нагрузкой</w:t>
            </w:r>
            <w:r w:rsidRPr="00B77DD0">
              <w:rPr>
                <w:rFonts w:ascii="Garamond" w:hAnsi="Garamond"/>
              </w:rPr>
              <w:t>;</w:t>
            </w:r>
          </w:p>
          <w:p w14:paraId="7B9FB33F" w14:textId="77777777" w:rsidR="00E71330" w:rsidRPr="00B77DD0" w:rsidRDefault="00E71330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Pхр</w:t>
            </w:r>
            <w:r w:rsidR="00243FAB" w:rsidRPr="00B77DD0">
              <w:rPr>
                <w:rFonts w:ascii="Garamond" w:hAnsi="Garamond"/>
              </w:rPr>
              <w:t>_</w:t>
            </w:r>
            <w:r w:rsidRPr="00B77DD0">
              <w:rPr>
                <w:rFonts w:ascii="Garamond" w:hAnsi="Garamond"/>
              </w:rPr>
              <w:t xml:space="preserve">i – величина холодного резерва генерирующего </w:t>
            </w:r>
            <w:r w:rsidR="00243FAB" w:rsidRPr="00B77DD0">
              <w:rPr>
                <w:rFonts w:ascii="Garamond" w:hAnsi="Garamond"/>
              </w:rPr>
              <w:t>оборудования</w:t>
            </w:r>
            <w:r w:rsidRPr="00B77DD0">
              <w:rPr>
                <w:rFonts w:ascii="Garamond" w:hAnsi="Garamond"/>
              </w:rPr>
              <w:t xml:space="preserve"> ТЭС, расположенных за </w:t>
            </w:r>
            <w:r w:rsidR="00645F49" w:rsidRPr="001E54E4">
              <w:rPr>
                <w:rFonts w:ascii="Garamond" w:hAnsi="Garamond"/>
                <w:i/>
              </w:rPr>
              <w:t>i</w:t>
            </w:r>
            <w:r w:rsidR="00645F49" w:rsidRPr="00B77DD0">
              <w:rPr>
                <w:rFonts w:ascii="Garamond" w:hAnsi="Garamond"/>
              </w:rPr>
              <w:t xml:space="preserve">-м </w:t>
            </w:r>
            <w:r w:rsidRPr="00B77DD0">
              <w:rPr>
                <w:rFonts w:ascii="Garamond" w:hAnsi="Garamond"/>
              </w:rPr>
              <w:t xml:space="preserve">контролируемым сечением с учетом ограничений по выпуску мощности этих ТЭС в сторону рассматриваемого контролируемого сечения. </w:t>
            </w:r>
          </w:p>
          <w:p w14:paraId="38AC7385" w14:textId="3DD6253E" w:rsidR="00E71330" w:rsidRPr="00B77DD0" w:rsidRDefault="007F7363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В случае</w:t>
            </w:r>
            <w:r w:rsidR="00E71330" w:rsidRPr="00B77DD0">
              <w:rPr>
                <w:rFonts w:ascii="Garamond" w:hAnsi="Garamond"/>
              </w:rPr>
              <w:t xml:space="preserve"> если </w:t>
            </w:r>
            <w:r w:rsidR="00243FAB" w:rsidRPr="00B77DD0">
              <w:rPr>
                <w:rFonts w:ascii="Garamond" w:hAnsi="Garamond"/>
              </w:rPr>
              <w:t>dR</w:t>
            </w:r>
            <w:r w:rsidR="006F58EB" w:rsidRPr="00B77DD0">
              <w:rPr>
                <w:rFonts w:ascii="Garamond" w:hAnsi="Garamond"/>
              </w:rPr>
              <w:t>1</w:t>
            </w:r>
            <w:r w:rsidR="00243FAB" w:rsidRPr="00B77DD0">
              <w:rPr>
                <w:rFonts w:ascii="Garamond" w:hAnsi="Garamond"/>
              </w:rPr>
              <w:t xml:space="preserve">_i </w:t>
            </w:r>
            <w:r w:rsidR="00E71330" w:rsidRPr="00B77DD0">
              <w:rPr>
                <w:rFonts w:ascii="Garamond" w:hAnsi="Garamond"/>
              </w:rPr>
              <w:t xml:space="preserve">меньше 0, то дефицит третичного резерва за рассматриваемым КС отсутствует </w:t>
            </w:r>
            <w:r w:rsidR="00243FAB" w:rsidRPr="00B77DD0">
              <w:rPr>
                <w:rFonts w:ascii="Garamond" w:hAnsi="Garamond"/>
              </w:rPr>
              <w:t xml:space="preserve">и принимается равным 0 </w:t>
            </w:r>
            <w:r w:rsidR="00E71330" w:rsidRPr="00B77DD0">
              <w:rPr>
                <w:rFonts w:ascii="Garamond" w:hAnsi="Garamond"/>
              </w:rPr>
              <w:t>(dR</w:t>
            </w:r>
            <w:r w:rsidR="006F58EB" w:rsidRPr="00B77DD0">
              <w:rPr>
                <w:rFonts w:ascii="Garamond" w:hAnsi="Garamond"/>
              </w:rPr>
              <w:t>1</w:t>
            </w:r>
            <w:r w:rsidR="00243FAB" w:rsidRPr="00B77DD0">
              <w:rPr>
                <w:rFonts w:ascii="Garamond" w:hAnsi="Garamond"/>
              </w:rPr>
              <w:t>_</w:t>
            </w:r>
            <w:r w:rsidR="00E71330" w:rsidRPr="00B77DD0">
              <w:rPr>
                <w:rFonts w:ascii="Garamond" w:hAnsi="Garamond"/>
              </w:rPr>
              <w:t>i = 0).</w:t>
            </w:r>
          </w:p>
          <w:p w14:paraId="4AD88411" w14:textId="527DA8C2" w:rsidR="00DD07E4" w:rsidRPr="00B77DD0" w:rsidRDefault="00DD07E4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2.</w:t>
            </w:r>
            <w:r w:rsidR="00117DB9" w:rsidRPr="00B77DD0">
              <w:rPr>
                <w:rFonts w:ascii="Garamond" w:hAnsi="Garamond"/>
              </w:rPr>
              <w:t>2.</w:t>
            </w:r>
            <w:r w:rsidRPr="00B77DD0">
              <w:rPr>
                <w:rFonts w:ascii="Garamond" w:hAnsi="Garamond"/>
              </w:rPr>
              <w:t> </w:t>
            </w:r>
            <w:r w:rsidR="00AA7485">
              <w:rPr>
                <w:rFonts w:ascii="Garamond" w:hAnsi="Garamond"/>
              </w:rPr>
              <w:t>Д</w:t>
            </w:r>
            <w:r w:rsidR="0022537E" w:rsidRPr="00B77DD0">
              <w:rPr>
                <w:rFonts w:ascii="Garamond" w:hAnsi="Garamond"/>
              </w:rPr>
              <w:t xml:space="preserve">ля совокупностей из </w:t>
            </w:r>
            <w:r w:rsidR="0022537E" w:rsidRPr="00AA7485">
              <w:rPr>
                <w:rFonts w:ascii="Garamond" w:hAnsi="Garamond"/>
                <w:i/>
              </w:rPr>
              <w:t>m</w:t>
            </w:r>
            <w:r w:rsidR="0022537E" w:rsidRPr="00B77DD0">
              <w:rPr>
                <w:rFonts w:ascii="Garamond" w:hAnsi="Garamond"/>
              </w:rPr>
              <w:t xml:space="preserve"> контролируемых сечений, расположенных последовательно (каскад контролируемых сечений), величина дефицита РТР ТЭС </w:t>
            </w:r>
            <w:r w:rsidR="0089140D" w:rsidRPr="00B77DD0">
              <w:rPr>
                <w:rFonts w:ascii="Garamond" w:hAnsi="Garamond"/>
              </w:rPr>
              <w:t>определяется как</w:t>
            </w:r>
            <w:r w:rsidR="0022537E" w:rsidRPr="00B77DD0">
              <w:rPr>
                <w:rFonts w:ascii="Garamond" w:hAnsi="Garamond"/>
              </w:rPr>
              <w:t xml:space="preserve"> максимально</w:t>
            </w:r>
            <w:r w:rsidR="0089140D" w:rsidRPr="00B77DD0">
              <w:rPr>
                <w:rFonts w:ascii="Garamond" w:hAnsi="Garamond"/>
              </w:rPr>
              <w:t>е</w:t>
            </w:r>
            <w:r w:rsidR="0022537E" w:rsidRPr="00B77DD0">
              <w:rPr>
                <w:rFonts w:ascii="Garamond" w:hAnsi="Garamond"/>
              </w:rPr>
              <w:t xml:space="preserve"> значени</w:t>
            </w:r>
            <w:r w:rsidR="0089140D" w:rsidRPr="00B77DD0">
              <w:rPr>
                <w:rFonts w:ascii="Garamond" w:hAnsi="Garamond"/>
              </w:rPr>
              <w:t>е</w:t>
            </w:r>
            <w:r w:rsidR="0022537E" w:rsidRPr="00B77DD0">
              <w:rPr>
                <w:rFonts w:ascii="Garamond" w:hAnsi="Garamond"/>
              </w:rPr>
              <w:t xml:space="preserve"> из определенных поочередно дефицитов РТР ТЭС для каждого контролируемого сечения из данного каскада:</w:t>
            </w:r>
          </w:p>
          <w:p w14:paraId="6F4F5657" w14:textId="6C924880" w:rsidR="0022537E" w:rsidRPr="00B77DD0" w:rsidRDefault="0022537E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dR</w:t>
            </w:r>
            <w:r w:rsidR="006F58EB" w:rsidRPr="00B77DD0">
              <w:rPr>
                <w:rFonts w:ascii="Garamond" w:hAnsi="Garamond"/>
              </w:rPr>
              <w:t>1</w:t>
            </w:r>
            <w:r w:rsidR="00117DB9" w:rsidRPr="00B77DD0">
              <w:rPr>
                <w:rFonts w:ascii="Garamond" w:hAnsi="Garamond"/>
              </w:rPr>
              <w:t>_каскад</w:t>
            </w:r>
            <w:r w:rsidRPr="00B77DD0">
              <w:rPr>
                <w:rFonts w:ascii="Garamond" w:hAnsi="Garamond"/>
              </w:rPr>
              <w:t xml:space="preserve"> = </w:t>
            </w:r>
            <w:r w:rsidR="00B321F5" w:rsidRPr="00B77DD0">
              <w:rPr>
                <w:rFonts w:ascii="Garamond" w:hAnsi="Garamond"/>
                <w:lang w:val="en-US"/>
              </w:rPr>
              <w:t>max</w:t>
            </w:r>
            <w:r w:rsidRPr="00B77DD0">
              <w:rPr>
                <w:rFonts w:ascii="Garamond" w:hAnsi="Garamond"/>
              </w:rPr>
              <w:t>(</w:t>
            </w:r>
            <w:r w:rsidR="00117DB9" w:rsidRPr="00B77DD0">
              <w:rPr>
                <w:rFonts w:ascii="Garamond" w:hAnsi="Garamond"/>
              </w:rPr>
              <w:t>dR</w:t>
            </w:r>
            <w:r w:rsidR="006F58EB" w:rsidRPr="00B77DD0">
              <w:rPr>
                <w:rFonts w:ascii="Garamond" w:hAnsi="Garamond"/>
              </w:rPr>
              <w:t>1</w:t>
            </w:r>
            <w:r w:rsidR="00117DB9" w:rsidRPr="00B77DD0">
              <w:rPr>
                <w:rFonts w:ascii="Garamond" w:hAnsi="Garamond"/>
              </w:rPr>
              <w:t>сеч_</w:t>
            </w:r>
            <w:proofErr w:type="gramStart"/>
            <w:r w:rsidR="00117DB9" w:rsidRPr="00B77DD0">
              <w:rPr>
                <w:rFonts w:ascii="Garamond" w:hAnsi="Garamond"/>
              </w:rPr>
              <w:t>1,…</w:t>
            </w:r>
            <w:proofErr w:type="gramEnd"/>
            <w:r w:rsidR="00117DB9" w:rsidRPr="00B77DD0">
              <w:rPr>
                <w:rFonts w:ascii="Garamond" w:hAnsi="Garamond"/>
              </w:rPr>
              <w:t>,</w:t>
            </w:r>
            <w:r w:rsidRPr="00B77DD0">
              <w:rPr>
                <w:rFonts w:ascii="Garamond" w:hAnsi="Garamond"/>
              </w:rPr>
              <w:t>dR</w:t>
            </w:r>
            <w:r w:rsidR="006F58EB" w:rsidRPr="00B77DD0">
              <w:rPr>
                <w:rFonts w:ascii="Garamond" w:hAnsi="Garamond"/>
              </w:rPr>
              <w:t>1</w:t>
            </w:r>
            <w:r w:rsidRPr="00B77DD0">
              <w:rPr>
                <w:rFonts w:ascii="Garamond" w:hAnsi="Garamond"/>
              </w:rPr>
              <w:t>сеч</w:t>
            </w:r>
            <w:r w:rsidR="00117DB9" w:rsidRPr="00B77DD0">
              <w:rPr>
                <w:rFonts w:ascii="Garamond" w:hAnsi="Garamond"/>
              </w:rPr>
              <w:t>_i,</w:t>
            </w:r>
            <w:r w:rsidRPr="00B77DD0">
              <w:rPr>
                <w:rFonts w:ascii="Garamond" w:hAnsi="Garamond"/>
              </w:rPr>
              <w:t>…</w:t>
            </w:r>
            <w:r w:rsidR="00117DB9" w:rsidRPr="00B77DD0">
              <w:rPr>
                <w:rFonts w:ascii="Garamond" w:hAnsi="Garamond"/>
              </w:rPr>
              <w:t>,</w:t>
            </w:r>
            <w:r w:rsidRPr="00B77DD0">
              <w:rPr>
                <w:rFonts w:ascii="Garamond" w:hAnsi="Garamond"/>
              </w:rPr>
              <w:t>dR</w:t>
            </w:r>
            <w:r w:rsidR="006F58EB" w:rsidRPr="00B77DD0">
              <w:rPr>
                <w:rFonts w:ascii="Garamond" w:hAnsi="Garamond"/>
              </w:rPr>
              <w:t>1</w:t>
            </w:r>
            <w:r w:rsidRPr="00B77DD0">
              <w:rPr>
                <w:rFonts w:ascii="Garamond" w:hAnsi="Garamond"/>
              </w:rPr>
              <w:t>сеч</w:t>
            </w:r>
            <w:r w:rsidR="00117DB9" w:rsidRPr="00B77DD0">
              <w:rPr>
                <w:rFonts w:ascii="Garamond" w:hAnsi="Garamond"/>
              </w:rPr>
              <w:t>_</w:t>
            </w:r>
            <w:r w:rsidRPr="00B77DD0">
              <w:rPr>
                <w:rFonts w:ascii="Garamond" w:hAnsi="Garamond"/>
              </w:rPr>
              <w:t>m)</w:t>
            </w:r>
            <w:r w:rsidR="00AA7485">
              <w:rPr>
                <w:rFonts w:ascii="Garamond" w:hAnsi="Garamond"/>
              </w:rPr>
              <w:t>.</w:t>
            </w:r>
          </w:p>
          <w:p w14:paraId="51B04376" w14:textId="1C9F0D0A" w:rsidR="0022537E" w:rsidRPr="00B77DD0" w:rsidRDefault="00AA7485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2.3. Д</w:t>
            </w:r>
            <w:bookmarkStart w:id="5" w:name="_GoBack"/>
            <w:bookmarkEnd w:id="5"/>
            <w:r w:rsidR="00117DB9" w:rsidRPr="00B77DD0">
              <w:rPr>
                <w:rFonts w:ascii="Garamond" w:hAnsi="Garamond"/>
              </w:rPr>
              <w:t xml:space="preserve">ля совокупности каскадов контролируемых сечений </w:t>
            </w:r>
            <w:r w:rsidR="0089140D" w:rsidRPr="00B77DD0">
              <w:rPr>
                <w:rFonts w:ascii="Garamond" w:hAnsi="Garamond"/>
              </w:rPr>
              <w:t xml:space="preserve">определяется </w:t>
            </w:r>
            <w:r w:rsidR="0089140D" w:rsidRPr="00B77DD0">
              <w:rPr>
                <w:rFonts w:ascii="Garamond" w:hAnsi="Garamond"/>
              </w:rPr>
              <w:lastRenderedPageBreak/>
              <w:t>суммарный дефицит РТР ТЭС за контролируемыми сечениями:</w:t>
            </w:r>
          </w:p>
          <w:p w14:paraId="7218E972" w14:textId="77777777" w:rsidR="0089140D" w:rsidRPr="00B77DD0" w:rsidRDefault="0089140D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dR</w:t>
            </w:r>
            <w:r w:rsidR="006F58EB" w:rsidRPr="00B77DD0">
              <w:rPr>
                <w:rFonts w:ascii="Garamond" w:hAnsi="Garamond"/>
              </w:rPr>
              <w:t>1</w:t>
            </w:r>
            <w:r w:rsidRPr="00B77DD0">
              <w:rPr>
                <w:rFonts w:ascii="Garamond" w:hAnsi="Garamond"/>
              </w:rPr>
              <w:t>сумм = ∑ (dR</w:t>
            </w:r>
            <w:r w:rsidR="006F58EB" w:rsidRPr="00B77DD0">
              <w:rPr>
                <w:rFonts w:ascii="Garamond" w:hAnsi="Garamond"/>
              </w:rPr>
              <w:t>1</w:t>
            </w:r>
            <w:r w:rsidRPr="00B77DD0">
              <w:rPr>
                <w:rFonts w:ascii="Garamond" w:hAnsi="Garamond"/>
              </w:rPr>
              <w:t>_каскад_1 …</w:t>
            </w:r>
            <w:r w:rsidR="006D6569" w:rsidRPr="00B77DD0">
              <w:rPr>
                <w:rFonts w:ascii="Garamond" w:hAnsi="Garamond"/>
              </w:rPr>
              <w:t xml:space="preserve"> dR</w:t>
            </w:r>
            <w:r w:rsidR="006F58EB" w:rsidRPr="00B77DD0">
              <w:rPr>
                <w:rFonts w:ascii="Garamond" w:hAnsi="Garamond"/>
              </w:rPr>
              <w:t>1</w:t>
            </w:r>
            <w:r w:rsidR="006D6569" w:rsidRPr="00B77DD0">
              <w:rPr>
                <w:rFonts w:ascii="Garamond" w:hAnsi="Garamond"/>
              </w:rPr>
              <w:t>_каскад_</w:t>
            </w:r>
            <w:r w:rsidR="000B03AA" w:rsidRPr="00B77DD0">
              <w:rPr>
                <w:rFonts w:ascii="Garamond" w:hAnsi="Garamond"/>
              </w:rPr>
              <w:t>i</w:t>
            </w:r>
            <w:proofErr w:type="gramStart"/>
            <w:r w:rsidR="000B03AA" w:rsidRPr="00B77DD0">
              <w:rPr>
                <w:rFonts w:ascii="Garamond" w:hAnsi="Garamond"/>
              </w:rPr>
              <w:t xml:space="preserve"> </w:t>
            </w:r>
            <w:r w:rsidRPr="00B77DD0">
              <w:rPr>
                <w:rFonts w:ascii="Garamond" w:hAnsi="Garamond"/>
              </w:rPr>
              <w:t>….</w:t>
            </w:r>
            <w:proofErr w:type="gramEnd"/>
            <w:r w:rsidRPr="00B77DD0">
              <w:rPr>
                <w:rFonts w:ascii="Garamond" w:hAnsi="Garamond"/>
              </w:rPr>
              <w:t xml:space="preserve"> dR</w:t>
            </w:r>
            <w:r w:rsidR="006F58EB" w:rsidRPr="00B77DD0">
              <w:rPr>
                <w:rFonts w:ascii="Garamond" w:hAnsi="Garamond"/>
              </w:rPr>
              <w:t>1</w:t>
            </w:r>
            <w:r w:rsidR="006D6569" w:rsidRPr="00B77DD0">
              <w:rPr>
                <w:rFonts w:ascii="Garamond" w:hAnsi="Garamond"/>
              </w:rPr>
              <w:t>_каскад_</w:t>
            </w:r>
            <w:r w:rsidRPr="00B77DD0">
              <w:rPr>
                <w:rFonts w:ascii="Garamond" w:hAnsi="Garamond"/>
              </w:rPr>
              <w:t>n)</w:t>
            </w:r>
            <w:r w:rsidR="006D6569" w:rsidRPr="00B77DD0">
              <w:rPr>
                <w:rFonts w:ascii="Garamond" w:hAnsi="Garamond"/>
              </w:rPr>
              <w:t>.</w:t>
            </w:r>
          </w:p>
          <w:p w14:paraId="40C0A39D" w14:textId="6C0437F7" w:rsidR="006D6569" w:rsidRPr="00B77DD0" w:rsidRDefault="006D6569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3. </w:t>
            </w:r>
            <w:r w:rsidR="007F7363" w:rsidRPr="00B77DD0">
              <w:rPr>
                <w:rFonts w:ascii="Garamond" w:hAnsi="Garamond"/>
              </w:rPr>
              <w:t>О</w:t>
            </w:r>
            <w:r w:rsidRPr="00B77DD0">
              <w:rPr>
                <w:rFonts w:ascii="Garamond" w:hAnsi="Garamond"/>
              </w:rPr>
              <w:t>пределяется общий дефицит резерва третичного регулирования ТЭС ОЭС Востока как разница между нормативным объемом РТР и объемом РТР, размещенным на ТЭС ОЭС Востока, за исключением величины холодного резерва генерирующего оборудования ТЭС ОЭС Востока.</w:t>
            </w:r>
          </w:p>
          <w:p w14:paraId="395198C6" w14:textId="77777777" w:rsidR="006D6569" w:rsidRPr="00B77DD0" w:rsidRDefault="006D6569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 xml:space="preserve">dR2 = </w:t>
            </w:r>
            <w:proofErr w:type="spellStart"/>
            <w:r w:rsidRPr="00B77DD0">
              <w:rPr>
                <w:rFonts w:ascii="Garamond" w:hAnsi="Garamond"/>
              </w:rPr>
              <w:t>Rртр_норм</w:t>
            </w:r>
            <w:proofErr w:type="spellEnd"/>
            <w:r w:rsidRPr="00B77DD0">
              <w:rPr>
                <w:rFonts w:ascii="Garamond" w:hAnsi="Garamond"/>
              </w:rPr>
              <w:t xml:space="preserve"> –</w:t>
            </w:r>
            <w:proofErr w:type="spellStart"/>
            <w:r w:rsidRPr="00B77DD0">
              <w:rPr>
                <w:rFonts w:ascii="Garamond" w:hAnsi="Garamond"/>
              </w:rPr>
              <w:t>Рртр_тэс</w:t>
            </w:r>
            <w:proofErr w:type="spellEnd"/>
            <w:r w:rsidRPr="00B77DD0">
              <w:rPr>
                <w:rFonts w:ascii="Garamond" w:hAnsi="Garamond"/>
              </w:rPr>
              <w:t xml:space="preserve">– </w:t>
            </w:r>
            <w:proofErr w:type="spellStart"/>
            <w:r w:rsidRPr="00B77DD0">
              <w:rPr>
                <w:rFonts w:ascii="Garamond" w:hAnsi="Garamond"/>
              </w:rPr>
              <w:t>Pхр</w:t>
            </w:r>
            <w:proofErr w:type="spellEnd"/>
            <w:r w:rsidRPr="00B77DD0">
              <w:rPr>
                <w:rFonts w:ascii="Garamond" w:hAnsi="Garamond"/>
              </w:rPr>
              <w:t>.</w:t>
            </w:r>
          </w:p>
          <w:p w14:paraId="0A5EBC80" w14:textId="48C69094" w:rsidR="006D6569" w:rsidRPr="00B77DD0" w:rsidRDefault="006D6569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7DD0">
              <w:rPr>
                <w:rFonts w:ascii="Garamond" w:hAnsi="Garamond"/>
              </w:rPr>
              <w:t>4. </w:t>
            </w:r>
            <w:r w:rsidR="007F7363" w:rsidRPr="00B77DD0">
              <w:rPr>
                <w:rFonts w:ascii="Garamond" w:hAnsi="Garamond"/>
              </w:rPr>
              <w:t>О</w:t>
            </w:r>
            <w:r w:rsidR="000B03AA" w:rsidRPr="00B77DD0">
              <w:rPr>
                <w:rFonts w:ascii="Garamond" w:hAnsi="Garamond"/>
              </w:rPr>
              <w:t xml:space="preserve">бъем </w:t>
            </w:r>
            <w:r w:rsidR="00D04251" w:rsidRPr="00B77DD0">
              <w:rPr>
                <w:rFonts w:ascii="Garamond" w:hAnsi="Garamond"/>
              </w:rPr>
              <w:t>недостаточного</w:t>
            </w:r>
            <w:r w:rsidR="000B03AA" w:rsidRPr="00B77DD0">
              <w:rPr>
                <w:rFonts w:ascii="Garamond" w:hAnsi="Garamond"/>
              </w:rPr>
              <w:t xml:space="preserve"> резерва на загрузку генерирующего оборудования на ТЭС ОЭС Востока </w:t>
            </w:r>
            <w:r w:rsidRPr="00B77DD0">
              <w:rPr>
                <w:rFonts w:ascii="Garamond" w:hAnsi="Garamond"/>
              </w:rPr>
              <w:t xml:space="preserve">определяется как максимальное </w:t>
            </w:r>
            <w:r w:rsidR="005520C8" w:rsidRPr="00B77DD0">
              <w:rPr>
                <w:rFonts w:ascii="Garamond" w:hAnsi="Garamond"/>
              </w:rPr>
              <w:t xml:space="preserve">за сутки </w:t>
            </w:r>
            <w:r w:rsidRPr="00B77DD0">
              <w:rPr>
                <w:rFonts w:ascii="Garamond" w:hAnsi="Garamond"/>
              </w:rPr>
              <w:t>значение из суммарного дефицита РТР ТЭС за контролируемыми сечениями и общего дефицита резерва третичного регулирования ТЭС ОЭС Востока, но не более суммы двух наибольших рабочих мощностей энергоблоков ТЭС в ОЭС Востока.</w:t>
            </w:r>
          </w:p>
          <w:p w14:paraId="6F72226F" w14:textId="77777777" w:rsidR="00E04ED2" w:rsidRPr="00B77DD0" w:rsidRDefault="006D6569" w:rsidP="007B557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proofErr w:type="spellStart"/>
            <w:r w:rsidRPr="00B77DD0">
              <w:rPr>
                <w:rFonts w:ascii="Garamond" w:hAnsi="Garamond"/>
              </w:rPr>
              <w:t>dR</w:t>
            </w:r>
            <w:proofErr w:type="spellEnd"/>
            <w:r w:rsidRPr="00B77DD0">
              <w:rPr>
                <w:rFonts w:ascii="Garamond" w:hAnsi="Garamond"/>
              </w:rPr>
              <w:t xml:space="preserve"> = </w:t>
            </w:r>
            <w:r w:rsidR="00B321F5" w:rsidRPr="00B77DD0">
              <w:rPr>
                <w:rFonts w:ascii="Garamond" w:hAnsi="Garamond"/>
                <w:lang w:val="en-US"/>
              </w:rPr>
              <w:t>min</w:t>
            </w:r>
            <w:r w:rsidRPr="00B77DD0">
              <w:rPr>
                <w:rFonts w:ascii="Garamond" w:hAnsi="Garamond"/>
              </w:rPr>
              <w:t>(</w:t>
            </w:r>
            <w:r w:rsidR="00B321F5" w:rsidRPr="00B77DD0">
              <w:rPr>
                <w:rFonts w:ascii="Garamond" w:hAnsi="Garamond"/>
                <w:lang w:val="en-US"/>
              </w:rPr>
              <w:t>max</w:t>
            </w:r>
            <w:r w:rsidRPr="00B77DD0">
              <w:rPr>
                <w:rFonts w:ascii="Garamond" w:hAnsi="Garamond"/>
              </w:rPr>
              <w:t>(dR1сумм, dR2),(Рмакс1 + Рмакс2)).</w:t>
            </w:r>
          </w:p>
        </w:tc>
      </w:tr>
    </w:tbl>
    <w:p w14:paraId="374521F5" w14:textId="77777777" w:rsidR="005C4BA4" w:rsidRDefault="005C4BA4" w:rsidP="005C4BA4">
      <w:pPr>
        <w:pStyle w:val="2"/>
        <w:numPr>
          <w:ilvl w:val="0"/>
          <w:numId w:val="0"/>
        </w:numPr>
        <w:spacing w:before="0" w:after="0"/>
        <w:rPr>
          <w:rFonts w:ascii="Garamond" w:hAnsi="Garamond"/>
          <w:sz w:val="26"/>
          <w:szCs w:val="26"/>
          <w:lang w:val="ru-RU"/>
        </w:rPr>
      </w:pPr>
    </w:p>
    <w:p w14:paraId="7B9684FF" w14:textId="43A43F7D" w:rsidR="00343F0D" w:rsidRDefault="00343F0D" w:rsidP="005C4BA4">
      <w:pPr>
        <w:pStyle w:val="2"/>
        <w:numPr>
          <w:ilvl w:val="0"/>
          <w:numId w:val="0"/>
        </w:numPr>
        <w:spacing w:before="0" w:after="0"/>
        <w:jc w:val="left"/>
        <w:rPr>
          <w:rFonts w:ascii="Garamond" w:hAnsi="Garamond"/>
          <w:sz w:val="26"/>
          <w:szCs w:val="26"/>
          <w:lang w:val="ru-RU"/>
        </w:rPr>
      </w:pPr>
      <w:r w:rsidRPr="00D54C45">
        <w:rPr>
          <w:rFonts w:ascii="Garamond" w:hAnsi="Garamond"/>
          <w:sz w:val="26"/>
          <w:szCs w:val="26"/>
          <w:lang w:val="ru-RU"/>
        </w:rPr>
        <w:t xml:space="preserve">Предложения по изменениям и дополнениям в РЕГЛАМЕНТ </w:t>
      </w:r>
      <w:bookmarkStart w:id="6" w:name="_Hlk183687275"/>
      <w:r w:rsidR="00542E39" w:rsidRPr="00D54C45">
        <w:rPr>
          <w:rFonts w:ascii="Garamond" w:hAnsi="Garamond"/>
          <w:sz w:val="26"/>
          <w:szCs w:val="26"/>
          <w:lang w:val="ru-RU"/>
        </w:rPr>
        <w:t xml:space="preserve">ПРОВЕДЕНИЯ КОНКУРЕНТНОГО ОТБОРА ЗАЯВОК ДЛЯ БАЛАНСИРОВАНИЯ СИСТЕМЫ </w:t>
      </w:r>
      <w:bookmarkEnd w:id="6"/>
      <w:r w:rsidRPr="00D54C45">
        <w:rPr>
          <w:rFonts w:ascii="Garamond" w:hAnsi="Garamond"/>
          <w:sz w:val="26"/>
          <w:szCs w:val="26"/>
          <w:lang w:val="ru-RU"/>
        </w:rPr>
        <w:t>(Приложение № 1</w:t>
      </w:r>
      <w:r w:rsidR="00FA5F23" w:rsidRPr="00D54C45">
        <w:rPr>
          <w:rFonts w:ascii="Garamond" w:hAnsi="Garamond"/>
          <w:sz w:val="26"/>
          <w:szCs w:val="26"/>
          <w:lang w:val="ru-RU"/>
        </w:rPr>
        <w:t>0</w:t>
      </w:r>
      <w:r w:rsidRPr="00D54C45">
        <w:rPr>
          <w:rFonts w:ascii="Garamond" w:hAnsi="Garamond"/>
          <w:sz w:val="26"/>
          <w:szCs w:val="26"/>
          <w:lang w:val="ru-RU"/>
        </w:rPr>
        <w:t xml:space="preserve"> к Договору о присоединении к торговой системе оптового рынка)</w:t>
      </w:r>
    </w:p>
    <w:p w14:paraId="0F2479AD" w14:textId="77777777" w:rsidR="005C4BA4" w:rsidRPr="005C4BA4" w:rsidRDefault="005C4BA4" w:rsidP="005C4BA4">
      <w:pPr>
        <w:pStyle w:val="3"/>
        <w:numPr>
          <w:ilvl w:val="0"/>
          <w:numId w:val="0"/>
        </w:numPr>
        <w:spacing w:before="0" w:after="0"/>
      </w:pPr>
    </w:p>
    <w:tbl>
      <w:tblPr>
        <w:tblW w:w="150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973"/>
        <w:gridCol w:w="6975"/>
      </w:tblGrid>
      <w:tr w:rsidR="00343F0D" w:rsidRPr="00D54C45" w14:paraId="02EE1087" w14:textId="77777777" w:rsidTr="00942BE3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3241" w14:textId="77777777" w:rsidR="00343F0D" w:rsidRPr="00D54C45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Times New Roman"/>
                <w:b/>
                <w:bCs/>
                <w:lang w:eastAsia="ru-RU"/>
              </w:rPr>
              <w:t>№ пункта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9DF20" w14:textId="77777777" w:rsidR="00343F0D" w:rsidRPr="00D54C45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Редакция, действующая на момент </w:t>
            </w:r>
          </w:p>
          <w:p w14:paraId="10419D9A" w14:textId="77777777" w:rsidR="00343F0D" w:rsidRPr="00D54C45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E1A8" w14:textId="77777777" w:rsidR="00343F0D" w:rsidRPr="00D54C45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20A8B32A" w14:textId="77777777" w:rsidR="00343F0D" w:rsidRPr="00D54C45" w:rsidRDefault="00343F0D" w:rsidP="00942BE3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 w:rsidRPr="00D54C4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C40287" w:rsidRPr="00D54C45" w14:paraId="145FFCF8" w14:textId="77777777" w:rsidTr="00942BE3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BC5A" w14:textId="661AD8C1" w:rsidR="00C40287" w:rsidRPr="00D54C45" w:rsidRDefault="00DF650F" w:rsidP="00C40287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ru-RU"/>
              </w:rPr>
              <w:t>5.3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69BD" w14:textId="77777777" w:rsidR="00C40287" w:rsidRPr="00D54C45" w:rsidRDefault="00C40287" w:rsidP="00DF650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>6) Для 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3E2F6C78" w14:textId="77777777" w:rsidR="00C40287" w:rsidRPr="00D54C45" w:rsidRDefault="00C40287" w:rsidP="00DF650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 xml:space="preserve">В случае если в отношении рассматриваемых операционных суток СО передан в КО признак недостаточности резервов на загрузку ТЭС в соответствии с </w:t>
            </w:r>
            <w:r w:rsidRPr="00D54C45">
              <w:rPr>
                <w:rFonts w:ascii="Garamond" w:hAnsi="Garamond"/>
                <w:i/>
              </w:rPr>
              <w:t>Регламентом проведения конкурентного отбора ценовых заявок на сутки вперед</w:t>
            </w:r>
            <w:r w:rsidRPr="00D54C45">
              <w:rPr>
                <w:rFonts w:ascii="Garamond" w:hAnsi="Garamond"/>
              </w:rPr>
              <w:t xml:space="preserve"> (Приложение № 7 к </w:t>
            </w:r>
            <w:r w:rsidRPr="00D54C45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D54C45">
              <w:rPr>
                <w:rFonts w:ascii="Garamond" w:hAnsi="Garamond"/>
              </w:rPr>
              <w:t>), то</w:t>
            </w:r>
            <w:r w:rsidRPr="00D54C45">
              <w:rPr>
                <w:rFonts w:ascii="Garamond" w:hAnsi="Garamond"/>
                <w:b/>
              </w:rPr>
              <w:t xml:space="preserve"> </w:t>
            </w:r>
            <w:r w:rsidRPr="00D54C45">
              <w:rPr>
                <w:rFonts w:ascii="Garamond" w:hAnsi="Garamond"/>
              </w:rPr>
              <w:t xml:space="preserve">влияние на индикаторы стоимости определенных в соответствии с настоящим пунктом ценовых заявок поставщиков по ГТП генерации ограничивается минимальной величиной из цен на электрическую энергию, указываемых участниками оптового рынка в ценовых заявках на продажу электрической энергии, подаваемых для </w:t>
            </w:r>
            <w:r w:rsidRPr="00D54C45">
              <w:rPr>
                <w:rFonts w:ascii="Garamond" w:hAnsi="Garamond"/>
              </w:rPr>
              <w:lastRenderedPageBreak/>
              <w:t xml:space="preserve">участия в конкурентном отборе ценовых заявок на сутки вперед, и определенного в соответствии с настоящим пунктом предельного уровня цены в ценовых заявках ТЭС. </w:t>
            </w:r>
          </w:p>
          <w:p w14:paraId="3C61109C" w14:textId="77777777" w:rsidR="00C40287" w:rsidRPr="00D54C45" w:rsidRDefault="00C40287" w:rsidP="00DF650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 xml:space="preserve">В число ценовых заявок, влияние которых ограничивается, включаются сформированные в соответствии с Методикой формирования входных и выходных данных при проведении конкурентного отбора БР пары &lt;цена-количество&gt; по ГТП генерации ТЭС с наиболее высокими значениями цены, объем которых полностью включен в объем ограниченного участия в ценообразовании. Объем ограниченного участия в ценообразовании принимается равным </w:t>
            </w:r>
            <w:r w:rsidRPr="00D54C45">
              <w:rPr>
                <w:rFonts w:ascii="Garamond" w:hAnsi="Garamond"/>
                <w:highlight w:val="yellow"/>
              </w:rPr>
              <w:t xml:space="preserve">определенному СО </w:t>
            </w:r>
            <w:r w:rsidRPr="00D54C45">
              <w:rPr>
                <w:rFonts w:ascii="Garamond" w:hAnsi="Garamond"/>
              </w:rPr>
              <w:t xml:space="preserve">объему </w:t>
            </w:r>
            <w:r w:rsidRPr="00D54C45">
              <w:rPr>
                <w:rFonts w:ascii="Garamond" w:hAnsi="Garamond"/>
                <w:highlight w:val="yellow"/>
              </w:rPr>
              <w:t>необходимого</w:t>
            </w:r>
            <w:r w:rsidRPr="00D54C45">
              <w:rPr>
                <w:rFonts w:ascii="Garamond" w:hAnsi="Garamond"/>
              </w:rPr>
              <w:t xml:space="preserve"> резерва на загрузку генерирующего оборудования на ТЭС. </w:t>
            </w:r>
          </w:p>
          <w:p w14:paraId="72C7026A" w14:textId="77777777" w:rsidR="00C40287" w:rsidRPr="00D54C45" w:rsidRDefault="00C40287" w:rsidP="00DF650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>Предельный уровень цены в ценовых заявках ТЭС определяется СО как максимальное значение цены среди пар &lt;цена-количество&gt; по всем ГТП генерации ТЭС, которые не включены в число пар &lt;цена-количество&gt;, влияние которых ограничивается в соответствии с настоящим пунктом. В случае если нет ни одной пары &lt;цена-количество&gt;, которая не является ценопринимающей и не включена в число пар &lt;цена-количество&gt;, влияние которых ограничивается в соответствии с настоящим пунктом, то предельный уровень цены в ценовых заявках ТЭС определяется СО как минимальное значение цены среди пар &lt;цена-количество&gt;, не являющихся ценопринимающими, по всем ГТП генерации ТЭС.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A33A" w14:textId="77777777" w:rsidR="00C40287" w:rsidRPr="00D54C45" w:rsidRDefault="00C40287" w:rsidP="00DF650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lastRenderedPageBreak/>
              <w:t>6) Для входящей в состав Дальневосточного федерального округа отдельной территории, ранее относившейся к неценовым зонам:</w:t>
            </w:r>
          </w:p>
          <w:p w14:paraId="47E6D8B0" w14:textId="77777777" w:rsidR="00C40287" w:rsidRPr="00D54C45" w:rsidRDefault="00C40287" w:rsidP="00DF650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 xml:space="preserve">В случае если в отношении рассматриваемых операционных суток СО передан в КО признак недостаточности резервов на загрузку ТЭС в соответствии с </w:t>
            </w:r>
            <w:r w:rsidRPr="00D54C45">
              <w:rPr>
                <w:rFonts w:ascii="Garamond" w:hAnsi="Garamond"/>
                <w:i/>
              </w:rPr>
              <w:t>Регламентом проведения конкурентного отбора ценовых заявок на сутки вперед</w:t>
            </w:r>
            <w:r w:rsidRPr="00D54C45">
              <w:rPr>
                <w:rFonts w:ascii="Garamond" w:hAnsi="Garamond"/>
              </w:rPr>
              <w:t xml:space="preserve"> (Приложение № 7 к </w:t>
            </w:r>
            <w:r w:rsidRPr="00D54C45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D54C45">
              <w:rPr>
                <w:rFonts w:ascii="Garamond" w:hAnsi="Garamond"/>
              </w:rPr>
              <w:t>), то</w:t>
            </w:r>
            <w:r w:rsidRPr="00D54C45">
              <w:rPr>
                <w:rFonts w:ascii="Garamond" w:hAnsi="Garamond"/>
                <w:b/>
              </w:rPr>
              <w:t xml:space="preserve"> </w:t>
            </w:r>
            <w:r w:rsidRPr="00D54C45">
              <w:rPr>
                <w:rFonts w:ascii="Garamond" w:hAnsi="Garamond"/>
              </w:rPr>
              <w:t xml:space="preserve">влияние на индикаторы стоимости определенных в соответствии с настоящим пунктом ценовых заявок поставщиков по ГТП генерации ограничивается минимальной величиной из цен на электрическую энергию, указываемых участниками оптового рынка в ценовых заявках на продажу электрической энергии, подаваемых для </w:t>
            </w:r>
            <w:r w:rsidRPr="00D54C45">
              <w:rPr>
                <w:rFonts w:ascii="Garamond" w:hAnsi="Garamond"/>
              </w:rPr>
              <w:lastRenderedPageBreak/>
              <w:t xml:space="preserve">участия в конкурентном отборе ценовых заявок на сутки вперед, и определенного в соответствии с настоящим пунктом предельного уровня цены в ценовых заявках ТЭС. </w:t>
            </w:r>
          </w:p>
          <w:p w14:paraId="7E13B1FF" w14:textId="7D07BB86" w:rsidR="00C40287" w:rsidRPr="00D54C45" w:rsidRDefault="00C40287" w:rsidP="00DF650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 xml:space="preserve">В число ценовых заявок, влияние которых ограничивается, включаются сформированные в соответствии с Методикой формирования входных и выходных данных при проведении конкурентного отбора БР пары &lt;цена-количество&gt; по ГТП генерации ТЭС с наиболее высокими значениями цены, объем которых полностью включен в объем ограниченного участия в ценообразовании. Объем ограниченного участия в ценообразовании принимается равным </w:t>
            </w:r>
            <w:r w:rsidR="00D04251" w:rsidRPr="00D54C45">
              <w:rPr>
                <w:rFonts w:ascii="Garamond" w:hAnsi="Garamond"/>
              </w:rPr>
              <w:t xml:space="preserve">объему </w:t>
            </w:r>
            <w:r w:rsidRPr="00D54C45">
              <w:rPr>
                <w:rFonts w:ascii="Garamond" w:hAnsi="Garamond"/>
                <w:highlight w:val="yellow"/>
              </w:rPr>
              <w:t>не</w:t>
            </w:r>
            <w:r w:rsidR="00D04251" w:rsidRPr="00D54C45">
              <w:rPr>
                <w:rFonts w:ascii="Garamond" w:hAnsi="Garamond"/>
                <w:highlight w:val="yellow"/>
              </w:rPr>
              <w:t>достаточного</w:t>
            </w:r>
            <w:r w:rsidRPr="00D54C45">
              <w:rPr>
                <w:rFonts w:ascii="Garamond" w:hAnsi="Garamond"/>
              </w:rPr>
              <w:t xml:space="preserve"> резерв</w:t>
            </w:r>
            <w:r w:rsidR="00D04251" w:rsidRPr="00D54C45">
              <w:rPr>
                <w:rFonts w:ascii="Garamond" w:hAnsi="Garamond"/>
              </w:rPr>
              <w:t>а</w:t>
            </w:r>
            <w:r w:rsidRPr="00D54C45">
              <w:rPr>
                <w:rFonts w:ascii="Garamond" w:hAnsi="Garamond"/>
              </w:rPr>
              <w:t xml:space="preserve"> на загрузку генерирующего оборудования на ТЭС</w:t>
            </w:r>
            <w:r w:rsidRPr="00D54C45">
              <w:rPr>
                <w:rFonts w:ascii="Garamond" w:hAnsi="Garamond"/>
                <w:highlight w:val="yellow"/>
              </w:rPr>
              <w:t>, определенному СО в соответствии с п. 6</w:t>
            </w:r>
            <w:r w:rsidR="00DF650F">
              <w:rPr>
                <w:rFonts w:ascii="Garamond" w:hAnsi="Garamond"/>
                <w:highlight w:val="yellow"/>
              </w:rPr>
              <w:t>.5</w:t>
            </w:r>
            <w:r w:rsidRPr="00D54C45">
              <w:rPr>
                <w:rFonts w:ascii="Garamond" w:hAnsi="Garamond"/>
                <w:highlight w:val="yellow"/>
              </w:rPr>
              <w:t xml:space="preserve"> </w:t>
            </w:r>
            <w:r w:rsidRPr="00D54C45">
              <w:rPr>
                <w:rFonts w:ascii="Garamond" w:hAnsi="Garamond"/>
                <w:i/>
                <w:highlight w:val="yellow"/>
              </w:rPr>
              <w:t>Регламента оперативного диспетчерского управления электроэнергетическим режимом объектов управления ЕЭС России</w:t>
            </w:r>
            <w:r w:rsidRPr="00D54C45">
              <w:rPr>
                <w:rFonts w:ascii="Garamond" w:eastAsia="Times New Roman" w:hAnsi="Garamond" w:cs="Times New Roman"/>
                <w:highlight w:val="yellow"/>
              </w:rPr>
              <w:t xml:space="preserve"> (Приложение</w:t>
            </w:r>
            <w:r w:rsidRPr="00D54C45">
              <w:rPr>
                <w:rFonts w:ascii="Garamond" w:hAnsi="Garamond"/>
                <w:highlight w:val="yellow"/>
              </w:rPr>
              <w:t> </w:t>
            </w:r>
            <w:r w:rsidRPr="00D54C45">
              <w:rPr>
                <w:rFonts w:ascii="Garamond" w:eastAsia="Times New Roman" w:hAnsi="Garamond" w:cs="Times New Roman"/>
                <w:highlight w:val="yellow"/>
              </w:rPr>
              <w:t xml:space="preserve">№ 9 к </w:t>
            </w:r>
            <w:r w:rsidRPr="00D54C45">
              <w:rPr>
                <w:rFonts w:ascii="Garamond" w:eastAsia="Times New Roman" w:hAnsi="Garamond" w:cs="Times New Roman"/>
                <w:i/>
                <w:highlight w:val="yellow"/>
              </w:rPr>
              <w:t>Договору о присоединении к торговой системе оптового рынка</w:t>
            </w:r>
            <w:r w:rsidRPr="00D54C45">
              <w:rPr>
                <w:rFonts w:ascii="Garamond" w:eastAsia="Times New Roman" w:hAnsi="Garamond" w:cs="Times New Roman"/>
                <w:highlight w:val="yellow"/>
              </w:rPr>
              <w:t>)</w:t>
            </w:r>
            <w:r w:rsidRPr="00D54C45">
              <w:rPr>
                <w:rFonts w:ascii="Garamond" w:hAnsi="Garamond"/>
              </w:rPr>
              <w:t xml:space="preserve">. </w:t>
            </w:r>
          </w:p>
          <w:p w14:paraId="54A09093" w14:textId="77777777" w:rsidR="00C40287" w:rsidRPr="00D54C45" w:rsidRDefault="00C40287" w:rsidP="00DF650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54C45">
              <w:rPr>
                <w:rFonts w:ascii="Garamond" w:hAnsi="Garamond"/>
              </w:rPr>
              <w:t>Предельный уровень цены в ценовых заявках ТЭС определяется СО как максимальное значение цены среди пар &lt;цена-количество&gt; по всем ГТП генерации ТЭС, которые не включены в число пар &lt;цена-количество&gt;, влияние которых ограничивается в соответствии с настоящим пунктом. В случае если нет ни одной пары &lt;цена-количество&gt;, которая не является ценопринимающей и не включена в число пар &lt;цена-количество&gt;, влияние которых ограничивается в соответствии с настоящим пунктом, то предельный уровень цены в ценовых заявках ТЭС определяется СО как минимальное значение цены среди пар &lt;цена-количество&gt;, не являющихся ценопринимающими, по всем ГТП генерации ТЭС.</w:t>
            </w:r>
          </w:p>
          <w:p w14:paraId="2ED74ADE" w14:textId="77777777" w:rsidR="00C40287" w:rsidRPr="00D54C45" w:rsidRDefault="00C40287" w:rsidP="00DF650F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</w:p>
        </w:tc>
      </w:tr>
    </w:tbl>
    <w:p w14:paraId="41787329" w14:textId="77777777" w:rsidR="00343F0D" w:rsidRPr="00D54C45" w:rsidRDefault="00343F0D" w:rsidP="00343F0D">
      <w:p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14:paraId="21960B47" w14:textId="77777777" w:rsidR="00343F0D" w:rsidRPr="00D54C45" w:rsidRDefault="00343F0D" w:rsidP="00494AE2">
      <w:pPr>
        <w:widowControl w:val="0"/>
        <w:spacing w:after="0" w:line="240" w:lineRule="auto"/>
        <w:ind w:right="-591"/>
        <w:jc w:val="both"/>
        <w:rPr>
          <w:rFonts w:ascii="Garamond" w:hAnsi="Garamond" w:cs="Liberation Serif"/>
          <w:sz w:val="28"/>
          <w:szCs w:val="28"/>
        </w:rPr>
      </w:pPr>
    </w:p>
    <w:sectPr w:rsidR="00343F0D" w:rsidRPr="00D54C45" w:rsidSect="00463235">
      <w:headerReference w:type="default" r:id="rId7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C7E44" w14:textId="77777777" w:rsidR="00784227" w:rsidRDefault="00784227" w:rsidP="00CE2141">
      <w:pPr>
        <w:spacing w:after="0" w:line="240" w:lineRule="auto"/>
      </w:pPr>
      <w:r>
        <w:separator/>
      </w:r>
    </w:p>
  </w:endnote>
  <w:endnote w:type="continuationSeparator" w:id="0">
    <w:p w14:paraId="67226AFD" w14:textId="77777777" w:rsidR="00784227" w:rsidRDefault="00784227" w:rsidP="00CE2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0E1CB" w14:textId="77777777" w:rsidR="00784227" w:rsidRDefault="00784227" w:rsidP="00CE2141">
      <w:pPr>
        <w:spacing w:after="0" w:line="240" w:lineRule="auto"/>
      </w:pPr>
      <w:r>
        <w:separator/>
      </w:r>
    </w:p>
  </w:footnote>
  <w:footnote w:type="continuationSeparator" w:id="0">
    <w:p w14:paraId="7A9815A0" w14:textId="77777777" w:rsidR="00784227" w:rsidRDefault="00784227" w:rsidP="00CE2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2001851"/>
      <w:docPartObj>
        <w:docPartGallery w:val="Page Numbers (Top of Page)"/>
        <w:docPartUnique/>
      </w:docPartObj>
    </w:sdtPr>
    <w:sdtEndPr/>
    <w:sdtContent>
      <w:p w14:paraId="0C8E296C" w14:textId="62E9F52F" w:rsidR="00B77A08" w:rsidRDefault="00B77A0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485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1868DE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FB"/>
    <w:multiLevelType w:val="multilevel"/>
    <w:tmpl w:val="879E4216"/>
    <w:lvl w:ilvl="0">
      <w:start w:val="1"/>
      <w:numFmt w:val="none"/>
      <w:pStyle w:val="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360"/>
        </w:tabs>
      </w:pPr>
      <w:rPr>
        <w:rFonts w:ascii="Garamond" w:hAnsi="Garamond" w:cs="Times New Roman" w:hint="default"/>
        <w:b/>
        <w:i w:val="0"/>
        <w:sz w:val="22"/>
        <w:szCs w:val="22"/>
      </w:rPr>
    </w:lvl>
    <w:lvl w:ilvl="2">
      <w:start w:val="1"/>
      <w:numFmt w:val="decimal"/>
      <w:pStyle w:val="3"/>
      <w:lvlText w:val="%2.%3"/>
      <w:lvlJc w:val="left"/>
      <w:pPr>
        <w:tabs>
          <w:tab w:val="num" w:pos="360"/>
        </w:tabs>
      </w:pPr>
      <w:rPr>
        <w:rFonts w:cs="Times New Roman"/>
        <w:b w:val="0"/>
        <w:i w:val="0"/>
      </w:rPr>
    </w:lvl>
    <w:lvl w:ilvl="3">
      <w:start w:val="1"/>
      <w:numFmt w:val="decimal"/>
      <w:pStyle w:val="4"/>
      <w:lvlText w:val="%2.%3.%4"/>
      <w:lvlJc w:val="left"/>
      <w:pPr>
        <w:tabs>
          <w:tab w:val="num" w:pos="720"/>
        </w:tabs>
      </w:pPr>
      <w:rPr>
        <w:rFonts w:cs="Times New Roman"/>
        <w:b w:val="0"/>
        <w:i w:val="0"/>
      </w:rPr>
    </w:lvl>
    <w:lvl w:ilvl="4">
      <w:start w:val="1"/>
      <w:numFmt w:val="decimal"/>
      <w:pStyle w:val="50"/>
      <w:lvlText w:val="%5)"/>
      <w:lvlJc w:val="left"/>
      <w:pPr>
        <w:tabs>
          <w:tab w:val="num" w:pos="360"/>
        </w:tabs>
      </w:pPr>
      <w:rPr>
        <w:rFonts w:cs="Times New Roman" w:hint="default"/>
      </w:rPr>
    </w:lvl>
    <w:lvl w:ilvl="5">
      <w:start w:val="1"/>
      <w:numFmt w:val="lowerRoman"/>
      <w:pStyle w:val="6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 w:hint="default"/>
      </w:rPr>
    </w:lvl>
  </w:abstractNum>
  <w:abstractNum w:abstractNumId="2" w15:restartNumberingAfterBreak="0">
    <w:nsid w:val="03E16F09"/>
    <w:multiLevelType w:val="hybridMultilevel"/>
    <w:tmpl w:val="55D8B9DC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566E1"/>
    <w:multiLevelType w:val="multilevel"/>
    <w:tmpl w:val="8A42AE80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4" w15:restartNumberingAfterBreak="0">
    <w:nsid w:val="05C915F8"/>
    <w:multiLevelType w:val="multilevel"/>
    <w:tmpl w:val="8A42AE80"/>
    <w:lvl w:ilvl="0">
      <w:start w:val="1"/>
      <w:numFmt w:val="decimal"/>
      <w:lvlText w:val="%1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Garamond" w:hAnsi="Garamond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824"/>
        </w:tabs>
        <w:ind w:left="446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544"/>
        </w:tabs>
        <w:ind w:left="518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264"/>
        </w:tabs>
        <w:ind w:left="590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984"/>
        </w:tabs>
        <w:ind w:left="6624"/>
      </w:pPr>
      <w:rPr>
        <w:rFonts w:cs="Times New Roman" w:hint="default"/>
      </w:rPr>
    </w:lvl>
  </w:abstractNum>
  <w:abstractNum w:abstractNumId="5" w15:restartNumberingAfterBreak="0">
    <w:nsid w:val="075B6596"/>
    <w:multiLevelType w:val="hybridMultilevel"/>
    <w:tmpl w:val="0882C5DC"/>
    <w:lvl w:ilvl="0" w:tplc="9FE20BA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8E976EE"/>
    <w:multiLevelType w:val="hybridMultilevel"/>
    <w:tmpl w:val="D8DC0268"/>
    <w:lvl w:ilvl="0" w:tplc="04190001">
      <w:start w:val="1"/>
      <w:numFmt w:val="bullet"/>
      <w:lvlText w:val=""/>
      <w:lvlJc w:val="left"/>
      <w:pPr>
        <w:tabs>
          <w:tab w:val="num" w:pos="2279"/>
        </w:tabs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99"/>
        </w:tabs>
        <w:ind w:left="299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19"/>
        </w:tabs>
        <w:ind w:left="37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439"/>
        </w:tabs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59"/>
        </w:tabs>
        <w:ind w:left="515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79"/>
        </w:tabs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99"/>
        </w:tabs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19"/>
        </w:tabs>
        <w:ind w:left="731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39"/>
        </w:tabs>
        <w:ind w:left="8039" w:hanging="360"/>
      </w:pPr>
      <w:rPr>
        <w:rFonts w:ascii="Wingdings" w:hAnsi="Wingdings" w:hint="default"/>
      </w:rPr>
    </w:lvl>
  </w:abstractNum>
  <w:abstractNum w:abstractNumId="7" w15:restartNumberingAfterBreak="0">
    <w:nsid w:val="0B4C205F"/>
    <w:multiLevelType w:val="hybridMultilevel"/>
    <w:tmpl w:val="4080F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6E15BA"/>
    <w:multiLevelType w:val="hybridMultilevel"/>
    <w:tmpl w:val="852C4A62"/>
    <w:lvl w:ilvl="0" w:tplc="9E42C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4F444D"/>
    <w:multiLevelType w:val="hybridMultilevel"/>
    <w:tmpl w:val="143811C6"/>
    <w:lvl w:ilvl="0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0" w15:restartNumberingAfterBreak="0">
    <w:nsid w:val="130E425B"/>
    <w:multiLevelType w:val="hybridMultilevel"/>
    <w:tmpl w:val="374A590C"/>
    <w:lvl w:ilvl="0" w:tplc="D4DEFCE2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AFF4CDE"/>
    <w:multiLevelType w:val="hybridMultilevel"/>
    <w:tmpl w:val="3D7409F6"/>
    <w:lvl w:ilvl="0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236D4B5A"/>
    <w:multiLevelType w:val="hybridMultilevel"/>
    <w:tmpl w:val="FCA25E20"/>
    <w:lvl w:ilvl="0" w:tplc="04190003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13" w15:restartNumberingAfterBreak="0">
    <w:nsid w:val="24F45C82"/>
    <w:multiLevelType w:val="hybridMultilevel"/>
    <w:tmpl w:val="503A3B12"/>
    <w:lvl w:ilvl="0" w:tplc="817E4E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4" w15:restartNumberingAfterBreak="0">
    <w:nsid w:val="2C7C3B83"/>
    <w:multiLevelType w:val="hybridMultilevel"/>
    <w:tmpl w:val="DDA0F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B1464"/>
    <w:multiLevelType w:val="hybridMultilevel"/>
    <w:tmpl w:val="5022BE40"/>
    <w:lvl w:ilvl="0" w:tplc="36EC85B6">
      <w:start w:val="1"/>
      <w:numFmt w:val="decimal"/>
      <w:lvlText w:val="3.3.2.%1."/>
      <w:lvlJc w:val="left"/>
      <w:pPr>
        <w:ind w:left="14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27" w:hanging="360"/>
      </w:pPr>
    </w:lvl>
    <w:lvl w:ilvl="2" w:tplc="0419001B" w:tentative="1">
      <w:start w:val="1"/>
      <w:numFmt w:val="lowerRoman"/>
      <w:lvlText w:val="%3."/>
      <w:lvlJc w:val="right"/>
      <w:pPr>
        <w:ind w:left="2847" w:hanging="180"/>
      </w:pPr>
    </w:lvl>
    <w:lvl w:ilvl="3" w:tplc="0419000F" w:tentative="1">
      <w:start w:val="1"/>
      <w:numFmt w:val="decimal"/>
      <w:lvlText w:val="%4."/>
      <w:lvlJc w:val="left"/>
      <w:pPr>
        <w:ind w:left="3567" w:hanging="360"/>
      </w:pPr>
    </w:lvl>
    <w:lvl w:ilvl="4" w:tplc="04190019" w:tentative="1">
      <w:start w:val="1"/>
      <w:numFmt w:val="lowerLetter"/>
      <w:lvlText w:val="%5."/>
      <w:lvlJc w:val="left"/>
      <w:pPr>
        <w:ind w:left="4287" w:hanging="360"/>
      </w:pPr>
    </w:lvl>
    <w:lvl w:ilvl="5" w:tplc="0419001B" w:tentative="1">
      <w:start w:val="1"/>
      <w:numFmt w:val="lowerRoman"/>
      <w:lvlText w:val="%6."/>
      <w:lvlJc w:val="right"/>
      <w:pPr>
        <w:ind w:left="5007" w:hanging="180"/>
      </w:pPr>
    </w:lvl>
    <w:lvl w:ilvl="6" w:tplc="0419000F" w:tentative="1">
      <w:start w:val="1"/>
      <w:numFmt w:val="decimal"/>
      <w:lvlText w:val="%7."/>
      <w:lvlJc w:val="left"/>
      <w:pPr>
        <w:ind w:left="5727" w:hanging="360"/>
      </w:pPr>
    </w:lvl>
    <w:lvl w:ilvl="7" w:tplc="04190019" w:tentative="1">
      <w:start w:val="1"/>
      <w:numFmt w:val="lowerLetter"/>
      <w:lvlText w:val="%8."/>
      <w:lvlJc w:val="left"/>
      <w:pPr>
        <w:ind w:left="6447" w:hanging="360"/>
      </w:pPr>
    </w:lvl>
    <w:lvl w:ilvl="8" w:tplc="0419001B" w:tentative="1">
      <w:start w:val="1"/>
      <w:numFmt w:val="lowerRoman"/>
      <w:lvlText w:val="%9."/>
      <w:lvlJc w:val="right"/>
      <w:pPr>
        <w:ind w:left="7167" w:hanging="180"/>
      </w:pPr>
    </w:lvl>
  </w:abstractNum>
  <w:abstractNum w:abstractNumId="16" w15:restartNumberingAfterBreak="0">
    <w:nsid w:val="31DB560F"/>
    <w:multiLevelType w:val="hybridMultilevel"/>
    <w:tmpl w:val="503A3B12"/>
    <w:lvl w:ilvl="0" w:tplc="817E4E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 w15:restartNumberingAfterBreak="0">
    <w:nsid w:val="33383766"/>
    <w:multiLevelType w:val="hybridMultilevel"/>
    <w:tmpl w:val="25626E26"/>
    <w:lvl w:ilvl="0" w:tplc="ADFE99DA">
      <w:start w:val="1"/>
      <w:numFmt w:val="bullet"/>
      <w:lvlText w:val=""/>
      <w:lvlJc w:val="left"/>
      <w:pPr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18" w15:restartNumberingAfterBreak="0">
    <w:nsid w:val="39CA28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A0C28C0"/>
    <w:multiLevelType w:val="hybridMultilevel"/>
    <w:tmpl w:val="374A590C"/>
    <w:lvl w:ilvl="0" w:tplc="D4DEFCE2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A54551"/>
    <w:multiLevelType w:val="hybridMultilevel"/>
    <w:tmpl w:val="BC8CE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97076"/>
    <w:multiLevelType w:val="hybridMultilevel"/>
    <w:tmpl w:val="762837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B1B1936"/>
    <w:multiLevelType w:val="hybridMultilevel"/>
    <w:tmpl w:val="AB86B04C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C092DFB"/>
    <w:multiLevelType w:val="hybridMultilevel"/>
    <w:tmpl w:val="7384F962"/>
    <w:lvl w:ilvl="0" w:tplc="8AB830C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DE03F06"/>
    <w:multiLevelType w:val="hybridMultilevel"/>
    <w:tmpl w:val="16984A8E"/>
    <w:lvl w:ilvl="0" w:tplc="25CC5EE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DF02751"/>
    <w:multiLevelType w:val="hybridMultilevel"/>
    <w:tmpl w:val="0EAC2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A4590C"/>
    <w:multiLevelType w:val="hybridMultilevel"/>
    <w:tmpl w:val="F6E44E6C"/>
    <w:lvl w:ilvl="0" w:tplc="ADFE99DA">
      <w:start w:val="1"/>
      <w:numFmt w:val="bullet"/>
      <w:lvlText w:val=""/>
      <w:lvlJc w:val="left"/>
      <w:pPr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27" w15:restartNumberingAfterBreak="0">
    <w:nsid w:val="51A32D33"/>
    <w:multiLevelType w:val="hybridMultilevel"/>
    <w:tmpl w:val="943093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8A87FE6"/>
    <w:multiLevelType w:val="hybridMultilevel"/>
    <w:tmpl w:val="E6F4DA80"/>
    <w:lvl w:ilvl="0" w:tplc="0419000B">
      <w:start w:val="1"/>
      <w:numFmt w:val="bullet"/>
      <w:lvlText w:val=""/>
      <w:lvlJc w:val="left"/>
      <w:pPr>
        <w:ind w:left="18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abstractNum w:abstractNumId="29" w15:restartNumberingAfterBreak="0">
    <w:nsid w:val="59183240"/>
    <w:multiLevelType w:val="hybridMultilevel"/>
    <w:tmpl w:val="F6D85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23D19"/>
    <w:multiLevelType w:val="hybridMultilevel"/>
    <w:tmpl w:val="695AF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65460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</w:lvl>
    <w:lvl w:ilvl="2">
      <w:start w:val="1"/>
      <w:numFmt w:val="decimal"/>
      <w:lvlText w:val="%2.%3"/>
      <w:legacy w:legacy="1" w:legacySpace="120" w:legacyIndent="360"/>
      <w:lvlJc w:val="left"/>
    </w:lvl>
    <w:lvl w:ilvl="3">
      <w:start w:val="1"/>
      <w:numFmt w:val="decimal"/>
      <w:lvlText w:val="%2.%3.%4"/>
      <w:legacy w:legacy="1" w:legacySpace="120" w:legacyIndent="360"/>
      <w:lvlJc w:val="left"/>
    </w:lvl>
    <w:lvl w:ilvl="4">
      <w:start w:val="1"/>
      <w:numFmt w:val="decimal"/>
      <w:lvlText w:val="%5)"/>
      <w:legacy w:legacy="1" w:legacySpace="120" w:legacyIndent="360"/>
      <w:lvlJc w:val="left"/>
    </w:lvl>
    <w:lvl w:ilvl="5">
      <w:start w:val="1"/>
      <w:numFmt w:val="lowerRoman"/>
      <w:lvlText w:val="%6)"/>
      <w:legacy w:legacy="1" w:legacySpace="120" w:legacyIndent="360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2" w15:restartNumberingAfterBreak="0">
    <w:nsid w:val="6CE5698A"/>
    <w:multiLevelType w:val="hybridMultilevel"/>
    <w:tmpl w:val="3F62E73C"/>
    <w:lvl w:ilvl="0" w:tplc="67080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0759F"/>
    <w:multiLevelType w:val="hybridMultilevel"/>
    <w:tmpl w:val="34703D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0B803E8"/>
    <w:multiLevelType w:val="hybridMultilevel"/>
    <w:tmpl w:val="81066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E51E6"/>
    <w:multiLevelType w:val="hybridMultilevel"/>
    <w:tmpl w:val="374A590C"/>
    <w:lvl w:ilvl="0" w:tplc="D4DEFCE2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1E53F45"/>
    <w:multiLevelType w:val="hybridMultilevel"/>
    <w:tmpl w:val="E0A0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93707"/>
    <w:multiLevelType w:val="hybridMultilevel"/>
    <w:tmpl w:val="A160694C"/>
    <w:lvl w:ilvl="0" w:tplc="9E42C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9C430F8"/>
    <w:multiLevelType w:val="hybridMultilevel"/>
    <w:tmpl w:val="9C840EDC"/>
    <w:lvl w:ilvl="0" w:tplc="0419000B">
      <w:start w:val="1"/>
      <w:numFmt w:val="bullet"/>
      <w:lvlText w:val=""/>
      <w:lvlJc w:val="left"/>
      <w:pPr>
        <w:ind w:left="18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</w:abstractNum>
  <w:abstractNum w:abstractNumId="39" w15:restartNumberingAfterBreak="0">
    <w:nsid w:val="7B2C10D5"/>
    <w:multiLevelType w:val="hybridMultilevel"/>
    <w:tmpl w:val="D958C6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BFD79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7D2E44"/>
    <w:multiLevelType w:val="hybridMultilevel"/>
    <w:tmpl w:val="374A590C"/>
    <w:lvl w:ilvl="0" w:tplc="D4DEFCE2">
      <w:start w:val="1"/>
      <w:numFmt w:val="russianLower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2"/>
  </w:num>
  <w:num w:numId="4">
    <w:abstractNumId w:val="11"/>
  </w:num>
  <w:num w:numId="5">
    <w:abstractNumId w:val="4"/>
  </w:num>
  <w:num w:numId="6">
    <w:abstractNumId w:val="34"/>
  </w:num>
  <w:num w:numId="7">
    <w:abstractNumId w:val="5"/>
  </w:num>
  <w:num w:numId="8">
    <w:abstractNumId w:val="3"/>
  </w:num>
  <w:num w:numId="9">
    <w:abstractNumId w:val="22"/>
  </w:num>
  <w:num w:numId="10">
    <w:abstractNumId w:val="21"/>
  </w:num>
  <w:num w:numId="11">
    <w:abstractNumId w:val="0"/>
  </w:num>
  <w:num w:numId="12">
    <w:abstractNumId w:val="33"/>
  </w:num>
  <w:num w:numId="13">
    <w:abstractNumId w:val="27"/>
  </w:num>
  <w:num w:numId="14">
    <w:abstractNumId w:val="15"/>
  </w:num>
  <w:num w:numId="15">
    <w:abstractNumId w:val="14"/>
  </w:num>
  <w:num w:numId="16">
    <w:abstractNumId w:val="25"/>
  </w:num>
  <w:num w:numId="17">
    <w:abstractNumId w:val="8"/>
  </w:num>
  <w:num w:numId="18">
    <w:abstractNumId w:val="9"/>
  </w:num>
  <w:num w:numId="19">
    <w:abstractNumId w:val="19"/>
  </w:num>
  <w:num w:numId="20">
    <w:abstractNumId w:val="17"/>
  </w:num>
  <w:num w:numId="21">
    <w:abstractNumId w:val="26"/>
  </w:num>
  <w:num w:numId="22">
    <w:abstractNumId w:val="10"/>
  </w:num>
  <w:num w:numId="23">
    <w:abstractNumId w:val="37"/>
  </w:num>
  <w:num w:numId="24">
    <w:abstractNumId w:val="12"/>
  </w:num>
  <w:num w:numId="25">
    <w:abstractNumId w:val="28"/>
  </w:num>
  <w:num w:numId="26">
    <w:abstractNumId w:val="38"/>
  </w:num>
  <w:num w:numId="27">
    <w:abstractNumId w:val="35"/>
  </w:num>
  <w:num w:numId="28">
    <w:abstractNumId w:val="41"/>
  </w:num>
  <w:num w:numId="29">
    <w:abstractNumId w:val="6"/>
  </w:num>
  <w:num w:numId="30">
    <w:abstractNumId w:val="23"/>
  </w:num>
  <w:num w:numId="31">
    <w:abstractNumId w:val="39"/>
  </w:num>
  <w:num w:numId="32">
    <w:abstractNumId w:val="32"/>
  </w:num>
  <w:num w:numId="33">
    <w:abstractNumId w:val="18"/>
  </w:num>
  <w:num w:numId="34">
    <w:abstractNumId w:val="40"/>
  </w:num>
  <w:num w:numId="35">
    <w:abstractNumId w:val="16"/>
  </w:num>
  <w:num w:numId="36">
    <w:abstractNumId w:val="13"/>
  </w:num>
  <w:num w:numId="37">
    <w:abstractNumId w:val="1"/>
  </w:num>
  <w:num w:numId="38">
    <w:abstractNumId w:val="1"/>
  </w:num>
  <w:num w:numId="39">
    <w:abstractNumId w:val="29"/>
  </w:num>
  <w:num w:numId="40">
    <w:abstractNumId w:val="36"/>
  </w:num>
  <w:num w:numId="41">
    <w:abstractNumId w:val="30"/>
  </w:num>
  <w:num w:numId="42">
    <w:abstractNumId w:val="7"/>
  </w:num>
  <w:num w:numId="43">
    <w:abstractNumId w:val="20"/>
  </w:num>
  <w:num w:numId="44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E1"/>
    <w:rsid w:val="000333FD"/>
    <w:rsid w:val="000357D3"/>
    <w:rsid w:val="00055F46"/>
    <w:rsid w:val="0007341F"/>
    <w:rsid w:val="000B0127"/>
    <w:rsid w:val="000B03AA"/>
    <w:rsid w:val="000B11B9"/>
    <w:rsid w:val="000C32AD"/>
    <w:rsid w:val="000D0F14"/>
    <w:rsid w:val="000E28E1"/>
    <w:rsid w:val="000F3920"/>
    <w:rsid w:val="00117DB9"/>
    <w:rsid w:val="00123014"/>
    <w:rsid w:val="00123214"/>
    <w:rsid w:val="00150188"/>
    <w:rsid w:val="001515FB"/>
    <w:rsid w:val="00152F15"/>
    <w:rsid w:val="001A318F"/>
    <w:rsid w:val="001A62BD"/>
    <w:rsid w:val="001B7B45"/>
    <w:rsid w:val="001C3C82"/>
    <w:rsid w:val="001E54E4"/>
    <w:rsid w:val="002106B3"/>
    <w:rsid w:val="0022537E"/>
    <w:rsid w:val="00243219"/>
    <w:rsid w:val="00243FAB"/>
    <w:rsid w:val="002652B0"/>
    <w:rsid w:val="002678FA"/>
    <w:rsid w:val="00277EA6"/>
    <w:rsid w:val="002852D5"/>
    <w:rsid w:val="002B0550"/>
    <w:rsid w:val="002B3744"/>
    <w:rsid w:val="002B648C"/>
    <w:rsid w:val="002D24A6"/>
    <w:rsid w:val="002D3C7F"/>
    <w:rsid w:val="002E70B8"/>
    <w:rsid w:val="002F4F2C"/>
    <w:rsid w:val="0031147C"/>
    <w:rsid w:val="00311539"/>
    <w:rsid w:val="003141FF"/>
    <w:rsid w:val="00316259"/>
    <w:rsid w:val="003241EE"/>
    <w:rsid w:val="00343F0D"/>
    <w:rsid w:val="00360331"/>
    <w:rsid w:val="00360798"/>
    <w:rsid w:val="003838A9"/>
    <w:rsid w:val="00391EF0"/>
    <w:rsid w:val="003D65AD"/>
    <w:rsid w:val="003F704F"/>
    <w:rsid w:val="00414197"/>
    <w:rsid w:val="004245A3"/>
    <w:rsid w:val="0044428D"/>
    <w:rsid w:val="0044615C"/>
    <w:rsid w:val="0046043E"/>
    <w:rsid w:val="00463235"/>
    <w:rsid w:val="00474761"/>
    <w:rsid w:val="00494AE2"/>
    <w:rsid w:val="004C09F0"/>
    <w:rsid w:val="004C0E4D"/>
    <w:rsid w:val="004E07C4"/>
    <w:rsid w:val="004E5A66"/>
    <w:rsid w:val="00502F9B"/>
    <w:rsid w:val="005244F5"/>
    <w:rsid w:val="00527841"/>
    <w:rsid w:val="00530ECE"/>
    <w:rsid w:val="00531534"/>
    <w:rsid w:val="00542E39"/>
    <w:rsid w:val="005520C8"/>
    <w:rsid w:val="005C4BA4"/>
    <w:rsid w:val="005C513D"/>
    <w:rsid w:val="005C67C8"/>
    <w:rsid w:val="005D1081"/>
    <w:rsid w:val="005E789A"/>
    <w:rsid w:val="005F4531"/>
    <w:rsid w:val="005F7D20"/>
    <w:rsid w:val="00607E3C"/>
    <w:rsid w:val="00613F4A"/>
    <w:rsid w:val="00642345"/>
    <w:rsid w:val="00644D6B"/>
    <w:rsid w:val="00645455"/>
    <w:rsid w:val="00645F49"/>
    <w:rsid w:val="00656317"/>
    <w:rsid w:val="00660E2A"/>
    <w:rsid w:val="0068217A"/>
    <w:rsid w:val="00684194"/>
    <w:rsid w:val="006B4047"/>
    <w:rsid w:val="006D6569"/>
    <w:rsid w:val="006F58EB"/>
    <w:rsid w:val="00715E44"/>
    <w:rsid w:val="00717BF6"/>
    <w:rsid w:val="00724BF5"/>
    <w:rsid w:val="0073473A"/>
    <w:rsid w:val="007373F2"/>
    <w:rsid w:val="00742A8B"/>
    <w:rsid w:val="00757B46"/>
    <w:rsid w:val="00784227"/>
    <w:rsid w:val="007934FE"/>
    <w:rsid w:val="007B557F"/>
    <w:rsid w:val="007B657E"/>
    <w:rsid w:val="007C4DA9"/>
    <w:rsid w:val="007F274A"/>
    <w:rsid w:val="007F7363"/>
    <w:rsid w:val="0080675F"/>
    <w:rsid w:val="00811279"/>
    <w:rsid w:val="008512C5"/>
    <w:rsid w:val="0086551A"/>
    <w:rsid w:val="008763A4"/>
    <w:rsid w:val="00886043"/>
    <w:rsid w:val="0089140D"/>
    <w:rsid w:val="00894DC2"/>
    <w:rsid w:val="008A70C8"/>
    <w:rsid w:val="008B39FE"/>
    <w:rsid w:val="008B4730"/>
    <w:rsid w:val="008E0CEC"/>
    <w:rsid w:val="008E75DC"/>
    <w:rsid w:val="009053DD"/>
    <w:rsid w:val="00917DAD"/>
    <w:rsid w:val="009209D0"/>
    <w:rsid w:val="00942BE3"/>
    <w:rsid w:val="0095119E"/>
    <w:rsid w:val="0097454F"/>
    <w:rsid w:val="009C2730"/>
    <w:rsid w:val="009D5932"/>
    <w:rsid w:val="009F077A"/>
    <w:rsid w:val="009F14CB"/>
    <w:rsid w:val="00A064D8"/>
    <w:rsid w:val="00A2550F"/>
    <w:rsid w:val="00A355A5"/>
    <w:rsid w:val="00A64E37"/>
    <w:rsid w:val="00A7099A"/>
    <w:rsid w:val="00A71750"/>
    <w:rsid w:val="00A71A6D"/>
    <w:rsid w:val="00A74F03"/>
    <w:rsid w:val="00A849FF"/>
    <w:rsid w:val="00AA7485"/>
    <w:rsid w:val="00AC6982"/>
    <w:rsid w:val="00AC7FA2"/>
    <w:rsid w:val="00AD2382"/>
    <w:rsid w:val="00AD696F"/>
    <w:rsid w:val="00AE63E6"/>
    <w:rsid w:val="00B0228B"/>
    <w:rsid w:val="00B17F7E"/>
    <w:rsid w:val="00B22A2D"/>
    <w:rsid w:val="00B25731"/>
    <w:rsid w:val="00B321F5"/>
    <w:rsid w:val="00B563AD"/>
    <w:rsid w:val="00B615EB"/>
    <w:rsid w:val="00B77A08"/>
    <w:rsid w:val="00B77DD0"/>
    <w:rsid w:val="00B77FC1"/>
    <w:rsid w:val="00BB07BB"/>
    <w:rsid w:val="00BC0949"/>
    <w:rsid w:val="00BC64FD"/>
    <w:rsid w:val="00BE1A9A"/>
    <w:rsid w:val="00C2163B"/>
    <w:rsid w:val="00C22CDC"/>
    <w:rsid w:val="00C40287"/>
    <w:rsid w:val="00C40860"/>
    <w:rsid w:val="00C615E7"/>
    <w:rsid w:val="00C64D72"/>
    <w:rsid w:val="00C64DE6"/>
    <w:rsid w:val="00C669CE"/>
    <w:rsid w:val="00CA7645"/>
    <w:rsid w:val="00CC0421"/>
    <w:rsid w:val="00CD2011"/>
    <w:rsid w:val="00CD5664"/>
    <w:rsid w:val="00CE2141"/>
    <w:rsid w:val="00CF468C"/>
    <w:rsid w:val="00D04251"/>
    <w:rsid w:val="00D10B21"/>
    <w:rsid w:val="00D54C45"/>
    <w:rsid w:val="00DD07E4"/>
    <w:rsid w:val="00DD5512"/>
    <w:rsid w:val="00DE1006"/>
    <w:rsid w:val="00DF0E1A"/>
    <w:rsid w:val="00DF650F"/>
    <w:rsid w:val="00E04ED2"/>
    <w:rsid w:val="00E51169"/>
    <w:rsid w:val="00E55C2C"/>
    <w:rsid w:val="00E62BAA"/>
    <w:rsid w:val="00E660A0"/>
    <w:rsid w:val="00E71330"/>
    <w:rsid w:val="00EB058A"/>
    <w:rsid w:val="00EB5E6D"/>
    <w:rsid w:val="00EC5597"/>
    <w:rsid w:val="00EC58C4"/>
    <w:rsid w:val="00ED3549"/>
    <w:rsid w:val="00ED3944"/>
    <w:rsid w:val="00ED446C"/>
    <w:rsid w:val="00EF6C8F"/>
    <w:rsid w:val="00F01C4E"/>
    <w:rsid w:val="00F050B0"/>
    <w:rsid w:val="00F1162D"/>
    <w:rsid w:val="00F16E8C"/>
    <w:rsid w:val="00F30E86"/>
    <w:rsid w:val="00F63015"/>
    <w:rsid w:val="00F70947"/>
    <w:rsid w:val="00F70BD9"/>
    <w:rsid w:val="00F77D4B"/>
    <w:rsid w:val="00F82518"/>
    <w:rsid w:val="00F84858"/>
    <w:rsid w:val="00FA5F23"/>
    <w:rsid w:val="00FC1AFB"/>
    <w:rsid w:val="00FD4FA5"/>
    <w:rsid w:val="00FE1F05"/>
    <w:rsid w:val="00FE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8E11"/>
  <w15:chartTrackingRefBased/>
  <w15:docId w15:val="{ACCC7CF6-35C7-4161-879F-A9C3DA3D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8E1"/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uiPriority w:val="99"/>
    <w:qFormat/>
    <w:rsid w:val="000E28E1"/>
    <w:pPr>
      <w:keepNext/>
      <w:pageBreakBefore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val="en-GB" w:eastAsia="ru-RU"/>
    </w:rPr>
  </w:style>
  <w:style w:type="paragraph" w:styleId="2">
    <w:name w:val="heading 2"/>
    <w:aliases w:val="h2,h21,Заголовок пункта (1.1),5,Reset numbering,222"/>
    <w:basedOn w:val="a"/>
    <w:next w:val="3"/>
    <w:link w:val="20"/>
    <w:uiPriority w:val="99"/>
    <w:qFormat/>
    <w:rsid w:val="000E28E1"/>
    <w:pPr>
      <w:keepNext/>
      <w:numPr>
        <w:ilvl w:val="1"/>
        <w:numId w:val="1"/>
      </w:numPr>
      <w:spacing w:before="180" w:after="18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GB" w:eastAsia="ru-RU"/>
    </w:rPr>
  </w:style>
  <w:style w:type="paragraph" w:styleId="3">
    <w:name w:val="heading 3"/>
    <w:aliases w:val="H3,Заголовок подпукта (1.1.1),Level 1 - 1,o"/>
    <w:basedOn w:val="a"/>
    <w:link w:val="30"/>
    <w:uiPriority w:val="99"/>
    <w:qFormat/>
    <w:rsid w:val="000E28E1"/>
    <w:pPr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aliases w:val="H4,H41,Sub-Minor,Level 2 - a"/>
    <w:basedOn w:val="a"/>
    <w:link w:val="40"/>
    <w:uiPriority w:val="99"/>
    <w:qFormat/>
    <w:rsid w:val="000E28E1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50">
    <w:name w:val="heading 5"/>
    <w:aliases w:val="h5,h51,H5,H51,h52,test,Block Label,Level 3 - i"/>
    <w:basedOn w:val="a"/>
    <w:link w:val="51"/>
    <w:uiPriority w:val="99"/>
    <w:qFormat/>
    <w:rsid w:val="000E28E1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aliases w:val="Legal Level 1."/>
    <w:basedOn w:val="a"/>
    <w:next w:val="50"/>
    <w:link w:val="60"/>
    <w:uiPriority w:val="99"/>
    <w:qFormat/>
    <w:rsid w:val="000E28E1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7">
    <w:name w:val="heading 7"/>
    <w:aliases w:val="Appendix Header,Legal Level 1.1."/>
    <w:basedOn w:val="a"/>
    <w:next w:val="a"/>
    <w:link w:val="70"/>
    <w:uiPriority w:val="99"/>
    <w:qFormat/>
    <w:rsid w:val="000E28E1"/>
    <w:pPr>
      <w:numPr>
        <w:ilvl w:val="6"/>
        <w:numId w:val="1"/>
      </w:numPr>
      <w:spacing w:before="180" w:after="240" w:line="240" w:lineRule="auto"/>
      <w:outlineLvl w:val="6"/>
    </w:pPr>
    <w:rPr>
      <w:rFonts w:ascii="Garamond" w:eastAsia="Times New Roman" w:hAnsi="Garamond" w:cs="Times New Roman"/>
      <w:szCs w:val="20"/>
      <w:lang w:val="en-GB" w:eastAsia="ru-RU"/>
    </w:rPr>
  </w:style>
  <w:style w:type="paragraph" w:styleId="8">
    <w:name w:val="heading 8"/>
    <w:aliases w:val="Legal Level 1.1.1."/>
    <w:basedOn w:val="a"/>
    <w:next w:val="a"/>
    <w:link w:val="80"/>
    <w:uiPriority w:val="99"/>
    <w:qFormat/>
    <w:rsid w:val="000E28E1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GB" w:eastAsia="ru-RU"/>
    </w:rPr>
  </w:style>
  <w:style w:type="paragraph" w:styleId="9">
    <w:name w:val="heading 9"/>
    <w:aliases w:val="Legal Level 1.1.1.1."/>
    <w:basedOn w:val="a"/>
    <w:next w:val="a"/>
    <w:link w:val="90"/>
    <w:uiPriority w:val="99"/>
    <w:qFormat/>
    <w:rsid w:val="000E28E1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basedOn w:val="a0"/>
    <w:link w:val="1"/>
    <w:uiPriority w:val="99"/>
    <w:rsid w:val="000E28E1"/>
    <w:rPr>
      <w:rFonts w:ascii="Times New Roman" w:eastAsia="Times New Roman" w:hAnsi="Times New Roman" w:cs="Times New Roman"/>
      <w:b/>
      <w:kern w:val="28"/>
      <w:sz w:val="28"/>
      <w:szCs w:val="20"/>
      <w:lang w:val="en-GB" w:eastAsia="ru-RU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uiPriority w:val="99"/>
    <w:rsid w:val="000E28E1"/>
    <w:rPr>
      <w:rFonts w:ascii="Times New Roman" w:eastAsia="Times New Roman" w:hAnsi="Times New Roman" w:cs="Times New Roman"/>
      <w:b/>
      <w:sz w:val="24"/>
      <w:szCs w:val="20"/>
      <w:lang w:val="en-GB" w:eastAsia="ru-RU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uiPriority w:val="99"/>
    <w:rsid w:val="000E28E1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aliases w:val="H4 Знак,H41 Знак,Sub-Minor Знак,Level 2 - a Знак"/>
    <w:basedOn w:val="a0"/>
    <w:link w:val="4"/>
    <w:uiPriority w:val="99"/>
    <w:rsid w:val="000E28E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0"/>
    <w:link w:val="50"/>
    <w:uiPriority w:val="99"/>
    <w:rsid w:val="000E28E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0E28E1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0E28E1"/>
    <w:rPr>
      <w:rFonts w:ascii="Garamond" w:eastAsia="Times New Roman" w:hAnsi="Garamond" w:cs="Times New Roman"/>
      <w:szCs w:val="20"/>
      <w:lang w:val="en-GB" w:eastAsia="ru-RU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0E28E1"/>
    <w:rPr>
      <w:rFonts w:ascii="Arial" w:eastAsia="Times New Roman" w:hAnsi="Arial" w:cs="Times New Roman"/>
      <w:i/>
      <w:sz w:val="20"/>
      <w:szCs w:val="20"/>
      <w:lang w:val="en-GB" w:eastAsia="ru-RU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0E28E1"/>
    <w:rPr>
      <w:rFonts w:ascii="Arial" w:eastAsia="Times New Roman" w:hAnsi="Arial" w:cs="Times New Roman"/>
      <w:i/>
      <w:sz w:val="18"/>
      <w:szCs w:val="20"/>
      <w:lang w:val="en-GB" w:eastAsia="ru-RU"/>
    </w:rPr>
  </w:style>
  <w:style w:type="paragraph" w:styleId="a3">
    <w:name w:val="Body Text Indent"/>
    <w:basedOn w:val="a"/>
    <w:link w:val="a4"/>
    <w:uiPriority w:val="99"/>
    <w:rsid w:val="000E28E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0E28E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uiPriority w:val="99"/>
    <w:qFormat/>
    <w:rsid w:val="002E70B8"/>
    <w:rPr>
      <w:rFonts w:cs="Times New Roman"/>
      <w:i/>
      <w:iCs/>
    </w:rPr>
  </w:style>
  <w:style w:type="paragraph" w:customStyle="1" w:styleId="subsubclauseindent">
    <w:name w:val="subsubclauseindent"/>
    <w:basedOn w:val="a"/>
    <w:uiPriority w:val="99"/>
    <w:rsid w:val="00642345"/>
    <w:pPr>
      <w:spacing w:before="120" w:after="120" w:line="240" w:lineRule="auto"/>
      <w:ind w:left="2552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styleId="a6">
    <w:name w:val="annotation reference"/>
    <w:basedOn w:val="a0"/>
    <w:uiPriority w:val="99"/>
    <w:semiHidden/>
    <w:unhideWhenUsed/>
    <w:rsid w:val="0064234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4234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4234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4234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42345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42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42345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CE2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E2141"/>
  </w:style>
  <w:style w:type="paragraph" w:styleId="af">
    <w:name w:val="footer"/>
    <w:basedOn w:val="a"/>
    <w:link w:val="af0"/>
    <w:uiPriority w:val="99"/>
    <w:unhideWhenUsed/>
    <w:rsid w:val="00CE2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E2141"/>
  </w:style>
  <w:style w:type="paragraph" w:customStyle="1" w:styleId="subclauseindent">
    <w:name w:val="subclauseindent"/>
    <w:basedOn w:val="a"/>
    <w:uiPriority w:val="99"/>
    <w:qFormat/>
    <w:rsid w:val="00FA5F23"/>
    <w:pPr>
      <w:spacing w:before="120" w:after="120" w:line="240" w:lineRule="auto"/>
      <w:ind w:left="1701"/>
      <w:jc w:val="both"/>
    </w:pPr>
    <w:rPr>
      <w:rFonts w:ascii="Times New Roman" w:eastAsia="Times New Roman" w:hAnsi="Times New Roman" w:cs="Times New Roman"/>
      <w:szCs w:val="20"/>
    </w:rPr>
  </w:style>
  <w:style w:type="paragraph" w:styleId="af1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f2"/>
    <w:uiPriority w:val="34"/>
    <w:qFormat/>
    <w:rsid w:val="001515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1"/>
    <w:uiPriority w:val="34"/>
    <w:qFormat/>
    <w:rsid w:val="001515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List Number 5"/>
    <w:basedOn w:val="a"/>
    <w:rsid w:val="00EB5E6D"/>
    <w:pPr>
      <w:numPr>
        <w:numId w:val="11"/>
      </w:numPr>
      <w:spacing w:after="0" w:line="360" w:lineRule="auto"/>
    </w:pPr>
    <w:rPr>
      <w:rFonts w:ascii="Garamond" w:eastAsia="Times New Roman" w:hAnsi="Garamond" w:cs="Times New Roman"/>
      <w:szCs w:val="20"/>
    </w:rPr>
  </w:style>
  <w:style w:type="character" w:styleId="af3">
    <w:name w:val="Placeholder Text"/>
    <w:basedOn w:val="a0"/>
    <w:uiPriority w:val="99"/>
    <w:semiHidden/>
    <w:rsid w:val="008914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9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7</Pages>
  <Words>2792</Words>
  <Characters>15921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 ЕЭС</Company>
  <LinksUpToDate>false</LinksUpToDate>
  <CharactersWithSpaces>18676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Ирина Валерьевна</dc:creator>
  <cp:keywords/>
  <dc:description/>
  <cp:lastModifiedBy>Гирина Марина Владимировна</cp:lastModifiedBy>
  <cp:revision>50</cp:revision>
  <dcterms:created xsi:type="dcterms:W3CDTF">2024-11-12T14:23:00Z</dcterms:created>
  <dcterms:modified xsi:type="dcterms:W3CDTF">2024-12-23T08:14:00Z</dcterms:modified>
</cp:coreProperties>
</file>