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6C714" w14:textId="30C86E95" w:rsidR="00382B53" w:rsidRPr="00BC02D7" w:rsidRDefault="00382B53" w:rsidP="00C40827">
      <w:pPr>
        <w:widowControl w:val="0"/>
        <w:spacing w:after="0" w:line="240" w:lineRule="auto"/>
        <w:rPr>
          <w:rFonts w:ascii="Garamond" w:hAnsi="Garamond"/>
          <w:b/>
          <w:iCs/>
          <w:sz w:val="28"/>
          <w:szCs w:val="28"/>
        </w:rPr>
      </w:pPr>
      <w:r w:rsidRPr="00BC02D7">
        <w:rPr>
          <w:rFonts w:ascii="Garamond" w:hAnsi="Garamond"/>
          <w:b/>
          <w:iCs/>
          <w:sz w:val="28"/>
          <w:szCs w:val="28"/>
          <w:lang w:val="en-US"/>
        </w:rPr>
        <w:t>III</w:t>
      </w:r>
      <w:r w:rsidRPr="00BC02D7">
        <w:rPr>
          <w:rFonts w:ascii="Garamond" w:hAnsi="Garamond"/>
          <w:b/>
          <w:iCs/>
          <w:sz w:val="28"/>
          <w:szCs w:val="28"/>
        </w:rPr>
        <w:t>.</w:t>
      </w:r>
      <w:r w:rsidRPr="008070A9">
        <w:rPr>
          <w:rFonts w:ascii="Garamond" w:hAnsi="Garamond"/>
          <w:b/>
          <w:iCs/>
          <w:sz w:val="28"/>
          <w:szCs w:val="28"/>
        </w:rPr>
        <w:t>1</w:t>
      </w:r>
      <w:r w:rsidRPr="00BC02D7">
        <w:rPr>
          <w:rFonts w:ascii="Garamond" w:hAnsi="Garamond"/>
          <w:b/>
          <w:iCs/>
          <w:sz w:val="28"/>
          <w:szCs w:val="28"/>
        </w:rPr>
        <w:t>. Изменения, связанные с особенностями расчета неустойки (пени) и осущес</w:t>
      </w:r>
      <w:r w:rsidR="004D760F">
        <w:rPr>
          <w:rFonts w:ascii="Garamond" w:hAnsi="Garamond"/>
          <w:b/>
          <w:iCs/>
          <w:sz w:val="28"/>
          <w:szCs w:val="28"/>
        </w:rPr>
        <w:t>твления контроля за расчетами в </w:t>
      </w:r>
      <w:r w:rsidRPr="00BC02D7">
        <w:rPr>
          <w:rFonts w:ascii="Garamond" w:hAnsi="Garamond"/>
          <w:b/>
          <w:iCs/>
          <w:sz w:val="28"/>
          <w:szCs w:val="28"/>
        </w:rPr>
        <w:t>отношении единого закупщика на территории новых субъектов Российской Федерации</w:t>
      </w:r>
    </w:p>
    <w:p w14:paraId="0F9FF73A" w14:textId="77777777" w:rsidR="00382B53" w:rsidRPr="00BC02D7" w:rsidRDefault="00382B53" w:rsidP="00C40827">
      <w:pPr>
        <w:widowControl w:val="0"/>
        <w:spacing w:after="0" w:line="240" w:lineRule="auto"/>
        <w:rPr>
          <w:rFonts w:ascii="Garamond" w:hAnsi="Garamond"/>
          <w:b/>
          <w:iCs/>
          <w:sz w:val="28"/>
          <w:szCs w:val="28"/>
        </w:rPr>
      </w:pPr>
    </w:p>
    <w:p w14:paraId="06DC1EF3" w14:textId="23571DAF" w:rsidR="00382B53" w:rsidRPr="00382B53" w:rsidRDefault="00382B53" w:rsidP="00C40827">
      <w:pPr>
        <w:widowControl w:val="0"/>
        <w:spacing w:after="0" w:line="240" w:lineRule="auto"/>
        <w:jc w:val="right"/>
        <w:rPr>
          <w:rFonts w:ascii="Garamond" w:eastAsia="Times New Roman" w:hAnsi="Garamond"/>
          <w:b/>
          <w:iCs/>
          <w:sz w:val="28"/>
          <w:szCs w:val="28"/>
          <w:lang w:eastAsia="ru-RU"/>
        </w:rPr>
      </w:pPr>
      <w:r w:rsidRPr="00BC02D7">
        <w:rPr>
          <w:rFonts w:ascii="Garamond" w:eastAsia="Times New Roman" w:hAnsi="Garamond"/>
          <w:b/>
          <w:iCs/>
          <w:sz w:val="28"/>
          <w:szCs w:val="28"/>
          <w:lang w:eastAsia="ru-RU"/>
        </w:rPr>
        <w:t>Приложение №</w:t>
      </w:r>
      <w:r w:rsidRPr="00BC02D7">
        <w:rPr>
          <w:rFonts w:ascii="Garamond" w:eastAsia="Times New Roman" w:hAnsi="Garamond"/>
          <w:b/>
          <w:iCs/>
          <w:sz w:val="28"/>
          <w:szCs w:val="28"/>
          <w:lang w:val="en-US" w:eastAsia="ru-RU"/>
        </w:rPr>
        <w:t xml:space="preserve"> </w:t>
      </w:r>
      <w:r>
        <w:rPr>
          <w:rFonts w:ascii="Garamond" w:eastAsia="Times New Roman" w:hAnsi="Garamond"/>
          <w:b/>
          <w:iCs/>
          <w:sz w:val="28"/>
          <w:szCs w:val="28"/>
          <w:lang w:val="en-US" w:eastAsia="ru-RU"/>
        </w:rPr>
        <w:t>3.1</w:t>
      </w:r>
    </w:p>
    <w:p w14:paraId="459C1091" w14:textId="77777777" w:rsidR="00382B53" w:rsidRDefault="00382B53" w:rsidP="00C40827">
      <w:pPr>
        <w:widowControl w:val="0"/>
        <w:spacing w:after="0" w:line="240" w:lineRule="auto"/>
        <w:jc w:val="center"/>
        <w:rPr>
          <w:rFonts w:ascii="Garamond" w:hAnsi="Garamond"/>
          <w:b/>
          <w:i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2"/>
      </w:tblGrid>
      <w:tr w:rsidR="00382B53" w14:paraId="41A505F3" w14:textId="77777777" w:rsidTr="00C40827">
        <w:trPr>
          <w:trHeight w:val="5155"/>
        </w:trPr>
        <w:tc>
          <w:tcPr>
            <w:tcW w:w="14992" w:type="dxa"/>
          </w:tcPr>
          <w:p w14:paraId="0F345EAC" w14:textId="77777777" w:rsidR="00382B53" w:rsidRPr="00BC02D7" w:rsidRDefault="00382B53" w:rsidP="00C40827">
            <w:pPr>
              <w:pStyle w:val="ConsPlusNormal"/>
              <w:tabs>
                <w:tab w:val="left" w:pos="360"/>
                <w:tab w:val="left" w:pos="1325"/>
              </w:tabs>
              <w:ind w:firstLine="0"/>
              <w:jc w:val="both"/>
              <w:outlineLvl w:val="0"/>
              <w:rPr>
                <w:rFonts w:ascii="Garamond" w:eastAsia="Calibri" w:hAnsi="Garamond" w:cs="Times New Roman"/>
                <w:sz w:val="24"/>
                <w:szCs w:val="24"/>
                <w:lang w:eastAsia="en-US"/>
              </w:rPr>
            </w:pPr>
            <w:bookmarkStart w:id="0" w:name="_Hlk185268448"/>
            <w:r>
              <w:rPr>
                <w:rFonts w:ascii="Garamond" w:hAnsi="Garamond"/>
                <w:b/>
                <w:sz w:val="24"/>
                <w:szCs w:val="24"/>
              </w:rPr>
              <w:t>Инициатор:</w:t>
            </w:r>
            <w:r>
              <w:rPr>
                <w:rFonts w:ascii="Garamond" w:hAnsi="Garamond"/>
                <w:sz w:val="24"/>
                <w:szCs w:val="24"/>
              </w:rPr>
              <w:t xml:space="preserve"> ООО «Единый закупщик».</w:t>
            </w:r>
          </w:p>
          <w:p w14:paraId="6720B7B6" w14:textId="66A78A45" w:rsidR="00382B53" w:rsidRDefault="00382B53" w:rsidP="00C4082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>
              <w:rPr>
                <w:rFonts w:ascii="Garamond" w:hAnsi="Garamond"/>
                <w:sz w:val="24"/>
                <w:szCs w:val="24"/>
              </w:rPr>
              <w:t xml:space="preserve"> ООО «Единый закупщик» является организацией, уполномоченной постановлением Правительства РФ от 29.07.2023 № 1230 и распоряжением Правительства РФ от 16.08.2023 № 2204-р осуществлять деятельность по купле-продаже электрической энергии (мощности) для целей поставки электрической энергии (мощности) в новые субъекты РФ. Для покрытия стоимости купленной электрической энергии (мощности) в части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межтарифной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разницы для организации предусмотрена субсидия из федерального бюджета и денежные средства (собираемые на ОРЭМ), необходимые для обеспечения безопасной эксплуатации атомных станций. Данные источники финансирования ООО «Единый закупщик» не предусматривают </w:t>
            </w:r>
            <w:r w:rsidR="00447744">
              <w:rPr>
                <w:rFonts w:ascii="Garamond" w:hAnsi="Garamond"/>
                <w:sz w:val="24"/>
                <w:szCs w:val="24"/>
              </w:rPr>
              <w:t>у</w:t>
            </w:r>
            <w:r>
              <w:rPr>
                <w:rFonts w:ascii="Garamond" w:hAnsi="Garamond"/>
                <w:sz w:val="24"/>
                <w:szCs w:val="24"/>
              </w:rPr>
              <w:t xml:space="preserve">плату неустойки (пени) по заключенным договорам. </w:t>
            </w:r>
            <w:proofErr w:type="gramStart"/>
            <w:r>
              <w:rPr>
                <w:rFonts w:ascii="Garamond" w:hAnsi="Garamond"/>
                <w:sz w:val="24"/>
                <w:szCs w:val="24"/>
              </w:rPr>
              <w:t>В связи с тем что</w:t>
            </w:r>
            <w:proofErr w:type="gramEnd"/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447744">
              <w:rPr>
                <w:rFonts w:ascii="Garamond" w:hAnsi="Garamond"/>
                <w:sz w:val="24"/>
                <w:szCs w:val="24"/>
              </w:rPr>
              <w:t>Д</w:t>
            </w:r>
            <w:r>
              <w:rPr>
                <w:rFonts w:ascii="Garamond" w:hAnsi="Garamond"/>
                <w:sz w:val="24"/>
                <w:szCs w:val="24"/>
              </w:rPr>
              <w:t xml:space="preserve">оговором о присоединении к торговой системе оптового рынка предусмотрена ежемесячная </w:t>
            </w:r>
            <w:r w:rsidR="00447744">
              <w:rPr>
                <w:rFonts w:ascii="Garamond" w:hAnsi="Garamond"/>
                <w:sz w:val="24"/>
                <w:szCs w:val="24"/>
              </w:rPr>
              <w:t>у</w:t>
            </w:r>
            <w:r>
              <w:rPr>
                <w:rFonts w:ascii="Garamond" w:hAnsi="Garamond"/>
                <w:sz w:val="24"/>
                <w:szCs w:val="24"/>
              </w:rPr>
              <w:t>плата неустойки (пени) за несвоевременное исполнение обязательств по оплате, предлагается определить новый срок действия (до 31.01.2026 года) следующих норм:</w:t>
            </w:r>
          </w:p>
          <w:p w14:paraId="6D34A90A" w14:textId="77777777" w:rsidR="00382B53" w:rsidRDefault="00382B53" w:rsidP="00C40827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неустойка за нарушение единым закупщиком порядка исполнения обязательств не рассчитывается;</w:t>
            </w:r>
          </w:p>
          <w:p w14:paraId="1845E25E" w14:textId="77777777" w:rsidR="00382B53" w:rsidRDefault="00382B53" w:rsidP="00C40827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единый закупщик исключается из мониторинга нарушения обязательств для целей определения участников, обязанных предоставить финансовые гарантии;</w:t>
            </w:r>
          </w:p>
          <w:p w14:paraId="4C09DBD5" w14:textId="77777777" w:rsidR="00382B53" w:rsidRDefault="00382B53" w:rsidP="00C40827">
            <w:pPr>
              <w:numPr>
                <w:ilvl w:val="0"/>
                <w:numId w:val="1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единый закупщик исключается из перечня участников, в отношении которых может быть инициирована процедура лишения статуса субъекта оптового рынка в случае неисполнения (ненадлежащего исполнения) им обязательств за два расчетных периода.</w:t>
            </w:r>
          </w:p>
          <w:p w14:paraId="3143503F" w14:textId="44706EC7" w:rsidR="00382B53" w:rsidRDefault="00302A3E" w:rsidP="00C4082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Предлагается также</w:t>
            </w:r>
            <w:r w:rsidR="00382B53">
              <w:rPr>
                <w:rFonts w:ascii="Garamond" w:hAnsi="Garamond"/>
                <w:sz w:val="24"/>
                <w:szCs w:val="24"/>
              </w:rPr>
              <w:t xml:space="preserve"> исключить расчет и учет ранее рассчитанной неустойки за нарушение единым закупщиком обязательств по договорам о предоставлении мощности,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 ввиду возможности ее взыскания вне уполномоченной кредитной организации.</w:t>
            </w:r>
          </w:p>
          <w:p w14:paraId="521318A3" w14:textId="77777777" w:rsidR="00382B53" w:rsidRDefault="00382B53" w:rsidP="00C408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>
              <w:rPr>
                <w:rFonts w:ascii="Garamond" w:hAnsi="Garamond"/>
                <w:bCs/>
                <w:sz w:val="24"/>
                <w:szCs w:val="24"/>
              </w:rPr>
              <w:t>с 1 января 2025 года</w:t>
            </w:r>
            <w:r>
              <w:rPr>
                <w:rFonts w:ascii="Garamond" w:hAnsi="Garamond"/>
                <w:sz w:val="24"/>
                <w:szCs w:val="24"/>
              </w:rPr>
              <w:t xml:space="preserve"> и действуют по 31 января 2026 года (включительно).</w:t>
            </w:r>
          </w:p>
        </w:tc>
      </w:tr>
      <w:bookmarkEnd w:id="0"/>
    </w:tbl>
    <w:p w14:paraId="72E201DB" w14:textId="77777777" w:rsidR="00382B53" w:rsidRDefault="00382B53" w:rsidP="00C40827">
      <w:pPr>
        <w:widowControl w:val="0"/>
        <w:spacing w:after="0" w:line="240" w:lineRule="auto"/>
        <w:rPr>
          <w:rFonts w:ascii="Garamond" w:hAnsi="Garamond"/>
        </w:rPr>
      </w:pPr>
    </w:p>
    <w:p w14:paraId="636E32CE" w14:textId="77777777" w:rsidR="00382B53" w:rsidRDefault="00382B53" w:rsidP="00C40827">
      <w:pPr>
        <w:spacing w:after="0" w:line="240" w:lineRule="auto"/>
        <w:rPr>
          <w:rFonts w:ascii="Garamond" w:hAnsi="Garamond"/>
          <w:b/>
          <w:sz w:val="26"/>
          <w:szCs w:val="26"/>
        </w:rPr>
      </w:pPr>
      <w:r>
        <w:rPr>
          <w:rFonts w:ascii="Garamond" w:eastAsia="Batang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</w:t>
      </w:r>
      <w:r>
        <w:rPr>
          <w:rFonts w:ascii="Garamond" w:hAnsi="Garamond"/>
          <w:b/>
          <w:bCs/>
          <w:sz w:val="26"/>
          <w:szCs w:val="26"/>
        </w:rPr>
        <w:t>Приложение № 16 к</w:t>
      </w:r>
      <w:r>
        <w:rPr>
          <w:rFonts w:ascii="Garamond" w:hAnsi="Garamond"/>
          <w:b/>
          <w:bCs/>
          <w:i/>
          <w:sz w:val="26"/>
          <w:szCs w:val="26"/>
        </w:rPr>
        <w:t xml:space="preserve"> </w:t>
      </w:r>
      <w:r>
        <w:rPr>
          <w:rFonts w:ascii="Garamond" w:hAnsi="Garamond"/>
          <w:b/>
          <w:bCs/>
          <w:sz w:val="26"/>
          <w:szCs w:val="26"/>
        </w:rPr>
        <w:t>Д</w:t>
      </w:r>
      <w:r>
        <w:rPr>
          <w:rFonts w:ascii="Garamond" w:hAnsi="Garamond"/>
          <w:b/>
          <w:sz w:val="26"/>
          <w:szCs w:val="26"/>
        </w:rPr>
        <w:t xml:space="preserve">оговору о присоединении к торговой системе оптового рынка) </w:t>
      </w:r>
    </w:p>
    <w:p w14:paraId="159FF99B" w14:textId="77777777" w:rsidR="00382B53" w:rsidRDefault="00382B53" w:rsidP="00C40827">
      <w:pPr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6946"/>
        <w:gridCol w:w="7076"/>
      </w:tblGrid>
      <w:tr w:rsidR="00382B53" w14:paraId="3B3DDB11" w14:textId="77777777" w:rsidTr="005A7899">
        <w:trPr>
          <w:trHeight w:val="435"/>
        </w:trPr>
        <w:tc>
          <w:tcPr>
            <w:tcW w:w="846" w:type="dxa"/>
            <w:vAlign w:val="center"/>
          </w:tcPr>
          <w:p w14:paraId="353770F2" w14:textId="77777777" w:rsidR="00382B53" w:rsidRDefault="00382B53" w:rsidP="00C4082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№</w:t>
            </w:r>
          </w:p>
          <w:p w14:paraId="2AF4D240" w14:textId="77777777" w:rsidR="00382B53" w:rsidRDefault="00382B53" w:rsidP="00C40827">
            <w:pPr>
              <w:spacing w:after="0" w:line="240" w:lineRule="auto"/>
              <w:ind w:right="-104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946" w:type="dxa"/>
            <w:vAlign w:val="center"/>
          </w:tcPr>
          <w:p w14:paraId="0D32AF07" w14:textId="77777777" w:rsidR="00382B53" w:rsidRDefault="00382B53" w:rsidP="00C4082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6C7167D9" w14:textId="77777777" w:rsidR="00382B53" w:rsidRDefault="00382B53" w:rsidP="00C40827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7076" w:type="dxa"/>
            <w:vAlign w:val="center"/>
          </w:tcPr>
          <w:p w14:paraId="55A9D489" w14:textId="77777777" w:rsidR="00382B53" w:rsidRDefault="00382B53" w:rsidP="00C4082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Предлагаемая редакция</w:t>
            </w:r>
          </w:p>
          <w:p w14:paraId="6F4B6A67" w14:textId="77777777" w:rsidR="00382B53" w:rsidRDefault="00382B53" w:rsidP="00C40827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382B53" w14:paraId="622B50A1" w14:textId="77777777" w:rsidTr="005A7899">
        <w:trPr>
          <w:trHeight w:val="435"/>
        </w:trPr>
        <w:tc>
          <w:tcPr>
            <w:tcW w:w="846" w:type="dxa"/>
            <w:vAlign w:val="center"/>
          </w:tcPr>
          <w:p w14:paraId="4F09F983" w14:textId="27A2DEA9" w:rsidR="00382B53" w:rsidRDefault="00382B53" w:rsidP="00C40827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2.2</w:t>
            </w:r>
          </w:p>
        </w:tc>
        <w:tc>
          <w:tcPr>
            <w:tcW w:w="6946" w:type="dxa"/>
            <w:vAlign w:val="center"/>
          </w:tcPr>
          <w:p w14:paraId="4CB5E45D" w14:textId="77777777" w:rsidR="00382B53" w:rsidRDefault="00382B53" w:rsidP="005A7899">
            <w:pPr>
              <w:pStyle w:val="a3"/>
              <w:ind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>
              <w:rPr>
                <w:rFonts w:ascii="Garamond" w:hAnsi="Garamond"/>
                <w:sz w:val="22"/>
                <w:szCs w:val="22"/>
                <w:lang w:val="ru-RU"/>
              </w:rPr>
              <w:t>...</w:t>
            </w:r>
          </w:p>
          <w:p w14:paraId="7906B273" w14:textId="77777777" w:rsidR="00382B53" w:rsidRDefault="00382B53" w:rsidP="005A7899">
            <w:pPr>
              <w:spacing w:before="120" w:after="120"/>
              <w:ind w:firstLine="567"/>
              <w:jc w:val="both"/>
              <w:rPr>
                <w:rFonts w:ascii="Garamond" w:eastAsia="Times New Roman" w:hAnsi="Garamond"/>
                <w:lang w:eastAsia="ru-RU"/>
              </w:rPr>
            </w:pPr>
            <w:r>
              <w:rPr>
                <w:rFonts w:ascii="Garamond" w:eastAsia="Times New Roman" w:hAnsi="Garamond"/>
                <w:lang w:eastAsia="ru-RU"/>
              </w:rPr>
              <w:t xml:space="preserve">Положения </w:t>
            </w:r>
            <w:r w:rsidRPr="00E23974">
              <w:rPr>
                <w:rFonts w:ascii="Garamond" w:eastAsia="Times New Roman" w:hAnsi="Garamond"/>
                <w:highlight w:val="yellow"/>
                <w:lang w:eastAsia="ru-RU"/>
              </w:rPr>
              <w:t>абзаца</w:t>
            </w:r>
            <w:r>
              <w:rPr>
                <w:rFonts w:ascii="Garamond" w:eastAsia="Times New Roman" w:hAnsi="Garamond"/>
                <w:lang w:eastAsia="ru-RU"/>
              </w:rPr>
              <w:t xml:space="preserve"> </w:t>
            </w:r>
            <w:r>
              <w:rPr>
                <w:rFonts w:ascii="Garamond" w:eastAsia="Times New Roman" w:hAnsi="Garamond"/>
                <w:highlight w:val="yellow"/>
                <w:lang w:eastAsia="ru-RU"/>
              </w:rPr>
              <w:t>третьего</w:t>
            </w:r>
            <w:r>
              <w:rPr>
                <w:rFonts w:ascii="Garamond" w:eastAsia="Times New Roman" w:hAnsi="Garamond"/>
                <w:lang w:eastAsia="ru-RU"/>
              </w:rPr>
              <w:t xml:space="preserve"> настоящего пункта, касающиеся порядка исполнения денежных обязательств участника оптового рынка, не распространяются на следующие случаи:</w:t>
            </w:r>
          </w:p>
          <w:p w14:paraId="10F8F0D9" w14:textId="77777777" w:rsidR="00382B53" w:rsidRDefault="00382B53" w:rsidP="005A7899">
            <w:pPr>
              <w:spacing w:before="120" w:after="120"/>
              <w:jc w:val="both"/>
              <w:rPr>
                <w:rFonts w:ascii="Garamond" w:eastAsia="Times New Roman" w:hAnsi="Garamond"/>
                <w:lang w:eastAsia="ru-RU"/>
              </w:rPr>
            </w:pPr>
            <w:r>
              <w:rPr>
                <w:rFonts w:ascii="Garamond" w:eastAsia="Times New Roman" w:hAnsi="Garamond"/>
                <w:lang w:eastAsia="ru-RU"/>
              </w:rPr>
              <w:lastRenderedPageBreak/>
              <w:t>– исполнение обязательства по оплате задолженности, права требования по которой переданы ЦФР участнику оптового рынка – комитенту в порядке, предусмотренном разделом 14 настоящего Регламента;</w:t>
            </w:r>
          </w:p>
          <w:p w14:paraId="393C6D1B" w14:textId="77777777" w:rsidR="00382B53" w:rsidRDefault="00382B53" w:rsidP="005A7899">
            <w:pPr>
              <w:spacing w:before="120" w:after="120"/>
              <w:jc w:val="both"/>
              <w:rPr>
                <w:rFonts w:ascii="Garamond" w:eastAsia="Times New Roman" w:hAnsi="Garamond"/>
                <w:lang w:eastAsia="ru-RU"/>
              </w:rPr>
            </w:pPr>
            <w:r>
              <w:rPr>
                <w:rFonts w:ascii="Garamond" w:eastAsia="Times New Roman" w:hAnsi="Garamond"/>
                <w:lang w:eastAsia="ru-RU"/>
              </w:rPr>
              <w:t>– исполнение обязательств и требований участника оптового рынка, в отношении которого было возбуждено дело о банкротстве, в случаях прекращения их исполнения через уполномоченную кредитную организацию в порядке, предусмотренном разделом 21 настоящего Регламента;</w:t>
            </w:r>
          </w:p>
          <w:p w14:paraId="5E326818" w14:textId="77777777" w:rsidR="00382B53" w:rsidRDefault="00382B53" w:rsidP="005A7899">
            <w:pPr>
              <w:spacing w:before="120" w:after="120"/>
              <w:jc w:val="both"/>
              <w:rPr>
                <w:rFonts w:ascii="Garamond" w:eastAsia="Times New Roman" w:hAnsi="Garamond"/>
                <w:lang w:eastAsia="ru-RU"/>
              </w:rPr>
            </w:pPr>
            <w:r>
              <w:rPr>
                <w:rFonts w:ascii="Garamond" w:eastAsia="Times New Roman" w:hAnsi="Garamond"/>
                <w:lang w:eastAsia="ru-RU"/>
              </w:rPr>
              <w:t>– исполнение обязательств и требований участника оптового рынка, в отношении которого принято решение о лишении права участия в торговле электрической энергией (мощностью) и (или) решение о лишении статуса субъекта оптового рынка, в случаях прекращения их исполнения через уполномоченную кредитную организацию в порядке, предусмотренном разделом 22 настоящего Регламента;</w:t>
            </w:r>
          </w:p>
          <w:p w14:paraId="4ED03EE7" w14:textId="77777777" w:rsidR="00382B53" w:rsidRDefault="00382B53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highlight w:val="yellow"/>
              </w:rPr>
              <w:t xml:space="preserve">– в случае, предусмотренном пунктом 12.5.1 </w:t>
            </w:r>
            <w:r>
              <w:rPr>
                <w:rFonts w:ascii="Garamond" w:hAnsi="Garamond"/>
              </w:rPr>
              <w:t>настоящего Регламента.</w:t>
            </w:r>
          </w:p>
        </w:tc>
        <w:tc>
          <w:tcPr>
            <w:tcW w:w="7076" w:type="dxa"/>
            <w:vAlign w:val="center"/>
          </w:tcPr>
          <w:p w14:paraId="260A0A1F" w14:textId="77777777" w:rsidR="00382B53" w:rsidRDefault="00382B53" w:rsidP="005A7899">
            <w:pPr>
              <w:pStyle w:val="a3"/>
              <w:ind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>
              <w:rPr>
                <w:rFonts w:ascii="Garamond" w:hAnsi="Garamond"/>
                <w:sz w:val="22"/>
                <w:szCs w:val="22"/>
                <w:lang w:val="ru-RU"/>
              </w:rPr>
              <w:lastRenderedPageBreak/>
              <w:t>...</w:t>
            </w:r>
          </w:p>
          <w:p w14:paraId="6A3317CF" w14:textId="77777777" w:rsidR="00382B53" w:rsidRDefault="00382B53" w:rsidP="005A7899">
            <w:pPr>
              <w:spacing w:before="120" w:after="120"/>
              <w:ind w:firstLine="567"/>
              <w:jc w:val="both"/>
              <w:rPr>
                <w:rFonts w:ascii="Garamond" w:eastAsia="Times New Roman" w:hAnsi="Garamond"/>
                <w:lang w:eastAsia="ru-RU"/>
              </w:rPr>
            </w:pPr>
            <w:r>
              <w:rPr>
                <w:rFonts w:ascii="Garamond" w:eastAsia="Times New Roman" w:hAnsi="Garamond"/>
                <w:lang w:eastAsia="ru-RU"/>
              </w:rPr>
              <w:t>Положения настоящего пункта, касающиеся порядка исполнения денежных обязательств участника оптового рынка</w:t>
            </w:r>
            <w:r w:rsidRPr="00124754">
              <w:rPr>
                <w:rFonts w:ascii="Garamond" w:hAnsi="Garamond"/>
                <w:color w:val="000000"/>
              </w:rPr>
              <w:t xml:space="preserve"> </w:t>
            </w:r>
            <w:r w:rsidRPr="00124754">
              <w:rPr>
                <w:rFonts w:ascii="Garamond" w:hAnsi="Garamond"/>
                <w:color w:val="000000"/>
                <w:highlight w:val="yellow"/>
              </w:rPr>
              <w:t>путем оплаты денежных средств с торгового счета</w:t>
            </w:r>
            <w:r w:rsidRPr="00E23974">
              <w:rPr>
                <w:rFonts w:ascii="Garamond" w:hAnsi="Garamond"/>
                <w:color w:val="000000"/>
              </w:rPr>
              <w:t>,</w:t>
            </w:r>
            <w:r w:rsidRPr="00124754">
              <w:rPr>
                <w:rFonts w:ascii="Garamond" w:hAnsi="Garamond"/>
                <w:color w:val="000000"/>
                <w:highlight w:val="yellow"/>
              </w:rPr>
              <w:t xml:space="preserve"> </w:t>
            </w:r>
            <w:r>
              <w:rPr>
                <w:rFonts w:ascii="Garamond" w:eastAsia="Times New Roman" w:hAnsi="Garamond"/>
                <w:lang w:eastAsia="ru-RU"/>
              </w:rPr>
              <w:t>не распространяются на следующие случаи:</w:t>
            </w:r>
          </w:p>
          <w:p w14:paraId="45254427" w14:textId="77777777" w:rsidR="00382B53" w:rsidRDefault="00382B53" w:rsidP="005A7899">
            <w:pPr>
              <w:spacing w:before="120" w:after="120"/>
              <w:jc w:val="both"/>
              <w:rPr>
                <w:rFonts w:ascii="Garamond" w:eastAsia="Times New Roman" w:hAnsi="Garamond"/>
                <w:lang w:eastAsia="ru-RU"/>
              </w:rPr>
            </w:pPr>
            <w:r>
              <w:rPr>
                <w:rFonts w:ascii="Garamond" w:eastAsia="Times New Roman" w:hAnsi="Garamond"/>
                <w:lang w:eastAsia="ru-RU"/>
              </w:rPr>
              <w:lastRenderedPageBreak/>
              <w:t>– исполнение обязательства по оплате задолженности, права требования по которой переданы ЦФР участнику оптового рынка – комитенту в порядке, предусмотренном разделом 14 настоящего Регламента;</w:t>
            </w:r>
          </w:p>
          <w:p w14:paraId="41B471D9" w14:textId="77777777" w:rsidR="00382B53" w:rsidRDefault="00382B53" w:rsidP="005A7899">
            <w:pPr>
              <w:spacing w:before="120" w:after="120"/>
              <w:jc w:val="both"/>
              <w:rPr>
                <w:rFonts w:ascii="Garamond" w:eastAsia="Times New Roman" w:hAnsi="Garamond"/>
                <w:lang w:eastAsia="ru-RU"/>
              </w:rPr>
            </w:pPr>
            <w:r>
              <w:rPr>
                <w:rFonts w:ascii="Garamond" w:eastAsia="Times New Roman" w:hAnsi="Garamond"/>
                <w:lang w:eastAsia="ru-RU"/>
              </w:rPr>
              <w:t>– исполнение обязательств и требований участника оптового рынка, в отношении которого было возбуждено дело о банкротстве, в случаях прекращения их исполнения через уполномоченную кредитную организацию в порядке, предусмотренном разделом 21 настоящего Регламента;</w:t>
            </w:r>
          </w:p>
          <w:p w14:paraId="428057F7" w14:textId="77777777" w:rsidR="00382B53" w:rsidRDefault="00382B53" w:rsidP="005A7899">
            <w:pPr>
              <w:spacing w:before="120" w:after="120"/>
              <w:jc w:val="both"/>
              <w:rPr>
                <w:rFonts w:ascii="Garamond" w:eastAsia="Times New Roman" w:hAnsi="Garamond"/>
                <w:lang w:eastAsia="ru-RU"/>
              </w:rPr>
            </w:pPr>
            <w:r>
              <w:rPr>
                <w:rFonts w:ascii="Garamond" w:eastAsia="Times New Roman" w:hAnsi="Garamond"/>
                <w:lang w:eastAsia="ru-RU"/>
              </w:rPr>
              <w:t>– исполнение обязательств и требований участника оптового рынка, в отношении которого принято решение о лишении права участия в торговле электрической энергией (мощностью) и (или) решение о лишении статуса субъекта оптового рынка, в случаях прекращения их исполнения через уполномоченную кредитную организацию в порядке, предусмотренном разделом 22 настоящего Регламента;</w:t>
            </w:r>
          </w:p>
          <w:p w14:paraId="432449AD" w14:textId="20A4CC5C" w:rsidR="00382B53" w:rsidRDefault="00382B53" w:rsidP="00447744">
            <w:pPr>
              <w:pStyle w:val="a3"/>
              <w:ind w:firstLine="567"/>
              <w:rPr>
                <w:rFonts w:ascii="Garamond" w:hAnsi="Garamond"/>
                <w:sz w:val="22"/>
                <w:szCs w:val="22"/>
                <w:lang w:val="ru-RU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– исполнение обязательств и требований по </w:t>
            </w:r>
            <w:r w:rsidR="00447744"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у</w:t>
            </w:r>
            <w:r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плате неустойки (пени) участниками оптового рынка, СО, ФСК, исполнителями услуг по управлению изменением режима потребления в случаях прекращения их исполнения через уполномоченную кредитную организацию в порядке, предусмотренном разделом 12 </w:t>
            </w:r>
            <w:r>
              <w:rPr>
                <w:rFonts w:ascii="Garamond" w:hAnsi="Garamond"/>
                <w:sz w:val="22"/>
                <w:szCs w:val="22"/>
                <w:lang w:val="ru-RU"/>
              </w:rPr>
              <w:t>настоящего Регламента</w:t>
            </w:r>
            <w:r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.</w:t>
            </w:r>
          </w:p>
        </w:tc>
      </w:tr>
      <w:tr w:rsidR="00382B53" w14:paraId="595FF517" w14:textId="77777777" w:rsidTr="004D760F">
        <w:trPr>
          <w:trHeight w:val="841"/>
        </w:trPr>
        <w:tc>
          <w:tcPr>
            <w:tcW w:w="846" w:type="dxa"/>
            <w:vAlign w:val="center"/>
          </w:tcPr>
          <w:p w14:paraId="29850651" w14:textId="77777777" w:rsidR="00382B53" w:rsidRDefault="00382B53" w:rsidP="005A7899">
            <w:pPr>
              <w:spacing w:after="0"/>
              <w:jc w:val="center"/>
              <w:rPr>
                <w:rFonts w:ascii="Garamond" w:hAnsi="Garamond"/>
                <w:b/>
                <w:color w:val="FF3B3B"/>
              </w:rPr>
            </w:pPr>
            <w:r>
              <w:rPr>
                <w:rFonts w:ascii="Garamond" w:hAnsi="Garamond"/>
                <w:b/>
                <w:lang w:val="en-US"/>
              </w:rPr>
              <w:lastRenderedPageBreak/>
              <w:t>12.5.</w:t>
            </w:r>
            <w:r>
              <w:rPr>
                <w:rFonts w:ascii="Garamond" w:hAnsi="Garamond"/>
                <w:b/>
              </w:rPr>
              <w:t>6</w:t>
            </w:r>
          </w:p>
        </w:tc>
        <w:tc>
          <w:tcPr>
            <w:tcW w:w="6946" w:type="dxa"/>
            <w:vAlign w:val="center"/>
          </w:tcPr>
          <w:p w14:paraId="6F50104A" w14:textId="77777777" w:rsidR="00382B53" w:rsidRDefault="00382B53" w:rsidP="00736A4F">
            <w:pPr>
              <w:pStyle w:val="2"/>
              <w:spacing w:before="120" w:after="120"/>
              <w:ind w:left="453" w:hanging="426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bookmarkStart w:id="1" w:name="_Toc181222348"/>
            <w:r>
              <w:rPr>
                <w:rFonts w:ascii="Garamond" w:hAnsi="Garamond"/>
                <w:b/>
                <w:sz w:val="22"/>
                <w:szCs w:val="22"/>
              </w:rPr>
              <w:t>12.5.6. Порядок расчета неустойки (пени) на задолженность единого закупщика на территории новых субъектов Российской Федерации</w:t>
            </w:r>
            <w:bookmarkEnd w:id="1"/>
          </w:p>
          <w:p w14:paraId="6D8DCFEE" w14:textId="77777777" w:rsidR="00382B53" w:rsidRDefault="00382B53" w:rsidP="005A7899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В отношении единого закупщика на территории новых субъектов Российской Федерации:</w:t>
            </w:r>
          </w:p>
          <w:p w14:paraId="746ED0C6" w14:textId="77777777" w:rsidR="00382B53" w:rsidRDefault="00382B53" w:rsidP="005A7899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– ЦФР не определяет обязательства по уплате неустойки (пени), рассчитанной за нарушение сроков исполнения  обязательств по оплате электрической энергии и (или) мощности (за исключением обязательств по договорам о предоставлении мощности,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станций), а также услуг инфраструктурных организаций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>по итогам расчетного периода – ноября 2023 года</w:t>
            </w: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;</w:t>
            </w:r>
          </w:p>
          <w:p w14:paraId="5A4C2ABF" w14:textId="77777777" w:rsidR="00382B53" w:rsidRDefault="00382B53" w:rsidP="005A7899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lastRenderedPageBreak/>
              <w:t xml:space="preserve">– ЦФР не рассчитывает неустойку (пени) за нарушение сроков исполнения обязательств по оплате электрической энергии и (или) мощности (за исключением обязательств по договорам о предоставлении мощности,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станций), </w:t>
            </w:r>
            <w:r>
              <w:rPr>
                <w:rFonts w:ascii="Garamond" w:hAnsi="Garamond"/>
                <w:bCs/>
                <w:sz w:val="22"/>
                <w:szCs w:val="22"/>
                <w:lang w:val="ru-RU"/>
              </w:rPr>
              <w:t>услуг по управлению изменением режима потребления электрической энергии, оказанных по договорам оказания услуг по управлению изменением режима потребления,</w:t>
            </w: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 а также услуг инфраструктурных организаций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>в период с 1 декабря 2023 года по 31 января 2025 года;</w:t>
            </w: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 </w:t>
            </w:r>
          </w:p>
          <w:p w14:paraId="3710D41A" w14:textId="77777777" w:rsidR="00382B53" w:rsidRDefault="00382B53" w:rsidP="005A7899">
            <w:pPr>
              <w:pStyle w:val="a3"/>
              <w:ind w:firstLine="598"/>
              <w:rPr>
                <w:rFonts w:ascii="Garamond" w:hAnsi="Garamond"/>
                <w:sz w:val="22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– КО не рассчитывает неустойку (пени) за нарушение сроков исполнения обязательств по оплате услуг КО по итогам расчетных периодов </w:t>
            </w:r>
            <w:r w:rsidRPr="00124754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 xml:space="preserve">с ноября 2023 года по январь </w:t>
            </w:r>
            <w:r w:rsidRPr="00B802F0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>2025</w:t>
            </w:r>
            <w:r w:rsidRPr="00124754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 xml:space="preserve"> года</w:t>
            </w: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.</w:t>
            </w:r>
          </w:p>
          <w:p w14:paraId="1BA5C6CF" w14:textId="77777777" w:rsidR="00382B53" w:rsidRDefault="00382B53" w:rsidP="005A7899">
            <w:pPr>
              <w:pStyle w:val="a3"/>
              <w:ind w:firstLine="598"/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</w:pPr>
            <w:r>
              <w:rPr>
                <w:rFonts w:ascii="Garamond" w:hAnsi="Garamond"/>
                <w:sz w:val="22"/>
                <w:szCs w:val="22"/>
                <w:lang w:val="ru-RU"/>
              </w:rPr>
              <w:t xml:space="preserve">С 24.01.2024 ЦФР не включает в Сводный реестр платежей, передаваемый в уполномоченную кредитную организацию, все обязательства по уплате неустойки (пени), </w:t>
            </w:r>
            <w:r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рассчитанные</w:t>
            </w:r>
            <w:r>
              <w:rPr>
                <w:rFonts w:ascii="Garamond" w:hAnsi="Garamond"/>
                <w:sz w:val="22"/>
                <w:szCs w:val="22"/>
                <w:lang w:val="ru-RU"/>
              </w:rPr>
              <w:t xml:space="preserve"> за нарушение единым закупщиком на территории новых субъектов Российской Федерации сроков исполнения обязательств по оплате электрической энергии и (или) мощности, а также услуг инфраструктурных организаций и не исполненные до 24.01.2024, а также </w:t>
            </w:r>
            <w:r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рассчитанные</w:t>
            </w:r>
            <w:r>
              <w:rPr>
                <w:rFonts w:ascii="Garamond" w:hAnsi="Garamond"/>
                <w:sz w:val="22"/>
                <w:szCs w:val="22"/>
                <w:lang w:val="ru-RU"/>
              </w:rPr>
              <w:t xml:space="preserve"> за нарушение сроков исполнения обязательств по оплате электрической энергии и (или) мощности, </w:t>
            </w:r>
            <w:r>
              <w:rPr>
                <w:rFonts w:ascii="Garamond" w:hAnsi="Garamond"/>
                <w:bCs/>
                <w:sz w:val="22"/>
                <w:szCs w:val="22"/>
                <w:lang w:val="ru-RU"/>
              </w:rPr>
              <w:t>услуг по управлению изменением режима потребления электрической энергии, оказанных по договорам оказания услуг по управлению изменением режима потребления,</w:t>
            </w:r>
            <w:r>
              <w:rPr>
                <w:rFonts w:ascii="Garamond" w:hAnsi="Garamond"/>
                <w:sz w:val="22"/>
                <w:szCs w:val="22"/>
                <w:lang w:val="ru-RU"/>
              </w:rPr>
              <w:t xml:space="preserve"> а также услуг инфраструктурных организаций в период с 24.01.2024 до </w:t>
            </w:r>
            <w:r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31.01.2025. </w:t>
            </w:r>
          </w:p>
          <w:p w14:paraId="41C8B31D" w14:textId="77777777" w:rsidR="00382B53" w:rsidRDefault="00382B53" w:rsidP="005A7899">
            <w:pPr>
              <w:pStyle w:val="a3"/>
              <w:ind w:firstLine="598"/>
              <w:rPr>
                <w:rFonts w:ascii="Garamond" w:hAnsi="Garamond"/>
                <w:sz w:val="22"/>
                <w:szCs w:val="22"/>
                <w:lang w:val="ru-RU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Начиная с 31.01.2025 ЦФР включает в Сводный реестр платежей, передаваемый в уполномоченную кредитную организацию, все обязательства по уплате неустойки (пени), рассчитанные за нарушение таким участником оптового рынка </w:t>
            </w:r>
            <w:r>
              <w:rPr>
                <w:rFonts w:ascii="Garamond" w:hAnsi="Garamond"/>
                <w:sz w:val="22"/>
                <w:szCs w:val="22"/>
                <w:lang w:val="ru-RU"/>
              </w:rPr>
              <w:t xml:space="preserve">обязательств по оплате электрической энергии и (или) мощности, </w:t>
            </w:r>
            <w:r>
              <w:rPr>
                <w:rFonts w:ascii="Garamond" w:hAnsi="Garamond"/>
                <w:bCs/>
                <w:sz w:val="22"/>
                <w:szCs w:val="22"/>
                <w:lang w:val="ru-RU"/>
              </w:rPr>
              <w:t>услуг по управлению изменением режима потребления электрической энергии, оказанных по договорам оказания услуг по управлению изменением режима потребления,</w:t>
            </w:r>
            <w:r>
              <w:rPr>
                <w:rFonts w:ascii="Garamond" w:hAnsi="Garamond"/>
                <w:sz w:val="22"/>
                <w:szCs w:val="22"/>
                <w:lang w:val="ru-RU"/>
              </w:rPr>
              <w:t xml:space="preserve"> а также услуг инфраструктурных организаций</w:t>
            </w:r>
            <w:r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 и не исполненные до 31.01.2025.</w:t>
            </w:r>
          </w:p>
          <w:p w14:paraId="4B8C370D" w14:textId="77777777" w:rsidR="00382B53" w:rsidRDefault="00382B53" w:rsidP="005A7899">
            <w:pPr>
              <w:spacing w:after="0"/>
              <w:jc w:val="both"/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7076" w:type="dxa"/>
            <w:vAlign w:val="center"/>
          </w:tcPr>
          <w:p w14:paraId="5D28CD8E" w14:textId="77777777" w:rsidR="00382B53" w:rsidRDefault="00382B53" w:rsidP="005A7899">
            <w:pPr>
              <w:spacing w:after="0"/>
              <w:jc w:val="both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lastRenderedPageBreak/>
              <w:t>12.5.6. Порядок расчета неустойки (пени) на задолженность единого закупщика на территории новых субъектов Российской Федерации</w:t>
            </w:r>
          </w:p>
          <w:p w14:paraId="0162A6A4" w14:textId="77777777" w:rsidR="00382B53" w:rsidRDefault="00382B53" w:rsidP="005A7899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В отношении единого закупщика на территории новых субъектов Российской Федерации:</w:t>
            </w:r>
          </w:p>
          <w:p w14:paraId="409FA431" w14:textId="2C844F0F" w:rsidR="00382B53" w:rsidRDefault="00382B53" w:rsidP="005A7899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–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>по итогам расчетного периода ноябр</w:t>
            </w:r>
            <w:r w:rsidR="00447744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>я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 xml:space="preserve"> 2023 года</w:t>
            </w: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 ЦФР не определяет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 xml:space="preserve">в соответствии с пунктом 12.4 настоящего Регламента </w:t>
            </w: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обязательства по уплате неустойки (пени)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 xml:space="preserve">, рассчитанной в соответствии с пунктом 12.3 настоящего Регламента </w:t>
            </w:r>
            <w:r w:rsidRPr="00124754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за нарушение </w:t>
            </w: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сроков исполнения  обязательств по оплате электрической энергии и (или) мощности (за исключением обязательств по договорам о предоставлении мощности,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станций), а также услуг инфраструктурных организаций;</w:t>
            </w:r>
          </w:p>
          <w:p w14:paraId="476AB1A3" w14:textId="3D23D979" w:rsidR="00382B53" w:rsidRDefault="00382B53" w:rsidP="005A7899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–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>в период с 1 декабря 2023 года по 31 декабря 2024 года</w:t>
            </w: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 ЦФР не рассчитывает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>в соответствии с пунктом 12.3 настоящего Регламента</w:t>
            </w: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lastRenderedPageBreak/>
              <w:t>неустойку (пени) (</w:t>
            </w:r>
            <w:r w:rsidRPr="00124754">
              <w:rPr>
                <w:rFonts w:ascii="Garamond" w:hAnsi="Garamond"/>
                <w:color w:val="000000"/>
                <w:sz w:val="22"/>
                <w:szCs w:val="22"/>
                <w:shd w:val="clear" w:color="auto" w:fill="FFFF00"/>
                <w:lang w:val="ru-RU"/>
              </w:rPr>
              <w:t>и</w:t>
            </w:r>
            <w:r w:rsidR="00447744">
              <w:rPr>
                <w:rFonts w:ascii="Garamond" w:hAnsi="Garamond"/>
                <w:color w:val="000000"/>
                <w:sz w:val="22"/>
                <w:szCs w:val="22"/>
                <w:shd w:val="clear" w:color="auto" w:fill="FFFF00"/>
                <w:lang w:val="ru-RU"/>
              </w:rPr>
              <w:t>,</w:t>
            </w:r>
            <w:r w:rsidRPr="00124754">
              <w:rPr>
                <w:rFonts w:ascii="Garamond" w:hAnsi="Garamond"/>
                <w:color w:val="000000"/>
                <w:sz w:val="22"/>
                <w:szCs w:val="22"/>
                <w:shd w:val="clear" w:color="auto" w:fill="FFFF00"/>
                <w:lang w:val="ru-RU"/>
              </w:rPr>
              <w:t xml:space="preserve"> соответственно</w:t>
            </w:r>
            <w:r w:rsidR="00447744">
              <w:rPr>
                <w:rFonts w:ascii="Garamond" w:hAnsi="Garamond"/>
                <w:color w:val="000000"/>
                <w:sz w:val="22"/>
                <w:szCs w:val="22"/>
                <w:shd w:val="clear" w:color="auto" w:fill="FFFF00"/>
                <w:lang w:val="ru-RU"/>
              </w:rPr>
              <w:t>,</w:t>
            </w:r>
            <w:r w:rsidRPr="00124754">
              <w:rPr>
                <w:rFonts w:ascii="Garamond" w:hAnsi="Garamond"/>
                <w:color w:val="000000"/>
                <w:sz w:val="22"/>
                <w:szCs w:val="22"/>
                <w:shd w:val="clear" w:color="auto" w:fill="FFFF00"/>
                <w:lang w:val="ru-RU"/>
              </w:rPr>
              <w:t xml:space="preserve"> не определяет </w:t>
            </w:r>
            <w:r w:rsidR="00447744">
              <w:rPr>
                <w:rFonts w:ascii="Garamond" w:hAnsi="Garamond"/>
                <w:color w:val="000000"/>
                <w:sz w:val="22"/>
                <w:szCs w:val="22"/>
                <w:shd w:val="clear" w:color="auto" w:fill="FFFF00"/>
                <w:lang w:val="ru-RU"/>
              </w:rPr>
              <w:t>согласно</w:t>
            </w:r>
            <w:r w:rsidRPr="00124754">
              <w:rPr>
                <w:rFonts w:ascii="Garamond" w:hAnsi="Garamond"/>
                <w:color w:val="000000"/>
                <w:sz w:val="22"/>
                <w:szCs w:val="22"/>
                <w:shd w:val="clear" w:color="auto" w:fill="FFFF00"/>
                <w:lang w:val="ru-RU"/>
              </w:rPr>
              <w:t xml:space="preserve"> пункт</w:t>
            </w:r>
            <w:r w:rsidR="00447744">
              <w:rPr>
                <w:rFonts w:ascii="Garamond" w:hAnsi="Garamond"/>
                <w:color w:val="000000"/>
                <w:sz w:val="22"/>
                <w:szCs w:val="22"/>
                <w:shd w:val="clear" w:color="auto" w:fill="FFFF00"/>
                <w:lang w:val="ru-RU"/>
              </w:rPr>
              <w:t>у</w:t>
            </w:r>
            <w:r w:rsidRPr="00124754">
              <w:rPr>
                <w:rFonts w:ascii="Garamond" w:hAnsi="Garamond"/>
                <w:color w:val="000000"/>
                <w:sz w:val="22"/>
                <w:szCs w:val="22"/>
                <w:shd w:val="clear" w:color="auto" w:fill="FFFF00"/>
                <w:lang w:val="ru-RU"/>
              </w:rPr>
              <w:t xml:space="preserve"> 12.4 настоящего Регламента обязательство по ее уплате)</w:t>
            </w:r>
            <w:r>
              <w:rPr>
                <w:rFonts w:ascii="Garamond" w:hAnsi="Garamond"/>
                <w:color w:val="000000"/>
                <w:sz w:val="22"/>
                <w:szCs w:val="22"/>
                <w:shd w:val="clear" w:color="auto" w:fill="FFFF00"/>
                <w:lang w:val="ru-RU"/>
              </w:rPr>
              <w:t xml:space="preserve"> </w:t>
            </w:r>
            <w:r w:rsidRPr="00124754"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>за нарушение</w:t>
            </w:r>
            <w:r w:rsidRPr="00B802F0">
              <w:rPr>
                <w:rFonts w:ascii="Garamond" w:hAnsi="Garamond"/>
                <w:color w:val="000000"/>
                <w:sz w:val="22"/>
                <w:szCs w:val="22"/>
                <w:shd w:val="clear" w:color="auto" w:fill="FFFF00"/>
                <w:lang w:val="ru-RU"/>
              </w:rPr>
              <w:t xml:space="preserve"> </w:t>
            </w:r>
            <w:r>
              <w:rPr>
                <w:rFonts w:ascii="Garamond" w:hAnsi="Garamond"/>
                <w:color w:val="000000"/>
                <w:sz w:val="22"/>
                <w:szCs w:val="22"/>
                <w:shd w:val="clear" w:color="auto" w:fill="FFFF00"/>
                <w:lang w:val="ru-RU"/>
              </w:rPr>
              <w:t xml:space="preserve"> </w:t>
            </w: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сроков исполнения обязательств по оплате электрической энергии и (или) мощности (за исключением обязательств по договорам о предоставлении мощности,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станций), </w:t>
            </w:r>
            <w:r>
              <w:rPr>
                <w:rFonts w:ascii="Garamond" w:hAnsi="Garamond"/>
                <w:bCs/>
                <w:sz w:val="22"/>
                <w:szCs w:val="22"/>
                <w:lang w:val="ru-RU"/>
              </w:rPr>
              <w:t>услуг по управлению изменением режима потребления электрической энергии, оказанных по договорам оказания услуг по управлению изменением режима потребления,</w:t>
            </w: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 а также услуг инфраструктурных организаций; </w:t>
            </w:r>
          </w:p>
          <w:p w14:paraId="632D843E" w14:textId="77777777" w:rsidR="00382B53" w:rsidRDefault="00382B53" w:rsidP="005A7899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– </w:t>
            </w:r>
            <w:r w:rsidRPr="00124754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 xml:space="preserve">с ноября 2023 года по январь </w:t>
            </w:r>
            <w:r w:rsidRPr="00B802F0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>2026</w:t>
            </w:r>
            <w:r w:rsidRPr="00124754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 xml:space="preserve"> года</w:t>
            </w: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 КО не рассчитывает неустойку (пени) за нарушение сроков исполнения обязательств по оплате услуг КО по итогам расчетных периодов.</w:t>
            </w:r>
          </w:p>
          <w:p w14:paraId="64372A0B" w14:textId="77777777" w:rsidR="00382B53" w:rsidRDefault="00382B53" w:rsidP="005A7899">
            <w:pPr>
              <w:pStyle w:val="a3"/>
              <w:ind w:firstLine="598"/>
              <w:rPr>
                <w:rFonts w:ascii="Garamond" w:hAnsi="Garamond"/>
                <w:sz w:val="22"/>
                <w:szCs w:val="22"/>
                <w:lang w:val="ru-RU"/>
              </w:rPr>
            </w:pPr>
            <w:r>
              <w:rPr>
                <w:rFonts w:ascii="Garamond" w:hAnsi="Garamond"/>
                <w:sz w:val="22"/>
                <w:szCs w:val="22"/>
                <w:lang w:val="ru-RU"/>
              </w:rPr>
              <w:t xml:space="preserve">С 24.01.2024 ЦФР не включает в Сводный реестр платежей, передаваемый в уполномоченную кредитную организацию, все обязательства по уплате неустойки (пени), </w:t>
            </w:r>
            <w:r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определенные в соответствии с пунктом 12.4 настоящего Регламента</w:t>
            </w:r>
            <w:r>
              <w:rPr>
                <w:rFonts w:ascii="Garamond" w:hAnsi="Garamond"/>
                <w:sz w:val="22"/>
                <w:szCs w:val="22"/>
                <w:lang w:val="ru-RU"/>
              </w:rPr>
              <w:t xml:space="preserve"> за нарушение единым закупщиком на территории новых субъектов Российской Федерации сроков исполнения обязательств по оплате электрической энергии и (или) мощности, а также услуг инфраструктурных организаций и не исполненные до 24.01.2024, а также </w:t>
            </w:r>
            <w:r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определенные в соответствии с пунктом 12.4 настоящего Регламента</w:t>
            </w:r>
            <w:r>
              <w:rPr>
                <w:rFonts w:ascii="Garamond" w:hAnsi="Garamond"/>
                <w:sz w:val="22"/>
                <w:szCs w:val="22"/>
                <w:lang w:val="ru-RU"/>
              </w:rPr>
              <w:t xml:space="preserve"> за нарушение сроков исполнения обязательств по оплате электрической энергии и (или) мощности, </w:t>
            </w:r>
            <w:r>
              <w:rPr>
                <w:rFonts w:ascii="Garamond" w:hAnsi="Garamond"/>
                <w:bCs/>
                <w:sz w:val="22"/>
                <w:szCs w:val="22"/>
                <w:lang w:val="ru-RU"/>
              </w:rPr>
              <w:t>услуг по управлению изменением режима потребления электрической энергии, оказанных по договорам оказания услуг по управлению изменением режима потребления,</w:t>
            </w:r>
            <w:r>
              <w:rPr>
                <w:rFonts w:ascii="Garamond" w:hAnsi="Garamond"/>
                <w:sz w:val="22"/>
                <w:szCs w:val="22"/>
                <w:lang w:val="ru-RU"/>
              </w:rPr>
              <w:t xml:space="preserve"> а также услуг инфраструктурных организаций в период с 24.01.2024 до </w:t>
            </w:r>
            <w:r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 xml:space="preserve">31.12.2024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>(включительно)</w:t>
            </w:r>
            <w:r>
              <w:rPr>
                <w:rFonts w:ascii="Garamond" w:hAnsi="Garamond"/>
                <w:sz w:val="22"/>
                <w:szCs w:val="22"/>
                <w:lang w:val="ru-RU"/>
              </w:rPr>
              <w:t xml:space="preserve">. </w:t>
            </w:r>
            <w:r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С 09.01.2025 ЦФР прекращает учет указанных обязательств.</w:t>
            </w:r>
          </w:p>
          <w:p w14:paraId="3354DAF0" w14:textId="77777777" w:rsidR="00382B53" w:rsidRDefault="00382B53" w:rsidP="005A7899">
            <w:pPr>
              <w:pStyle w:val="a3"/>
              <w:ind w:firstLine="598"/>
              <w:rPr>
                <w:rFonts w:ascii="Garamond" w:hAnsi="Garamond" w:cs="Garamond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 xml:space="preserve">В период с 1 января 2025 года до 31 января 2026 (включительно) ЦФР не рассчитывает неустойку (пени) за нарушение </w:t>
            </w:r>
            <w:r>
              <w:rPr>
                <w:rFonts w:ascii="Garamond" w:hAnsi="Garamond"/>
                <w:sz w:val="22"/>
                <w:szCs w:val="22"/>
                <w:highlight w:val="yellow"/>
                <w:lang w:val="ru-RU"/>
              </w:rPr>
              <w:t>единым закупщиком на территории новых субъектов Российской Федерации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 xml:space="preserve"> сроков исполнения  </w:t>
            </w: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обязательств по оплате электрической энергии и (или) мощности, </w:t>
            </w:r>
            <w:r>
              <w:rPr>
                <w:rFonts w:ascii="Garamond" w:hAnsi="Garamond"/>
                <w:bCs/>
                <w:sz w:val="22"/>
                <w:szCs w:val="22"/>
                <w:lang w:val="ru-RU"/>
              </w:rPr>
              <w:t>услуг по управлению изменением режима потребления электрической энергии, оказанных по договорам оказания услуг по управлению изменением режима потребления,</w:t>
            </w:r>
            <w:r>
              <w:rPr>
                <w:rFonts w:ascii="Garamond" w:hAnsi="Garamond"/>
                <w:color w:val="000000"/>
                <w:sz w:val="22"/>
                <w:szCs w:val="22"/>
                <w:lang w:val="ru-RU"/>
              </w:rPr>
              <w:t xml:space="preserve"> а также услуг инфраструктурных организаций.</w:t>
            </w:r>
          </w:p>
        </w:tc>
      </w:tr>
    </w:tbl>
    <w:p w14:paraId="04BD7D07" w14:textId="7E7CCCD9" w:rsidR="00382B53" w:rsidRDefault="00382B53" w:rsidP="007D7B60">
      <w:pPr>
        <w:autoSpaceDE w:val="0"/>
        <w:autoSpaceDN w:val="0"/>
        <w:adjustRightInd w:val="0"/>
        <w:spacing w:after="0" w:line="240" w:lineRule="auto"/>
        <w:outlineLvl w:val="0"/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lastRenderedPageBreak/>
        <w:t xml:space="preserve">Предложения по изменениям и дополнениям в РЕГЛАМЕНТ </w:t>
      </w:r>
      <w:r>
        <w:rPr>
          <w:rFonts w:ascii="Garamond" w:hAnsi="Garamond"/>
          <w:b/>
          <w:bCs/>
          <w:caps/>
          <w:sz w:val="26"/>
          <w:szCs w:val="26"/>
        </w:rPr>
        <w:t xml:space="preserve">контроля ЗА соблюдением участниками оптового рынка ПРАВИЛ ОПТОВОГО РЫНКА И договора о присоединении к торговой системе оптового рынка </w:t>
      </w:r>
      <w:r>
        <w:rPr>
          <w:rFonts w:ascii="Garamond" w:hAnsi="Garamond"/>
          <w:b/>
          <w:bCs/>
          <w:sz w:val="26"/>
          <w:szCs w:val="26"/>
        </w:rPr>
        <w:t>(Приложение № 23 к Договору о присоединении к торговой системе оптового рынка)</w:t>
      </w:r>
    </w:p>
    <w:p w14:paraId="74721DC7" w14:textId="77777777" w:rsidR="00382B53" w:rsidRDefault="00382B53" w:rsidP="00382B53">
      <w:pPr>
        <w:widowControl w:val="0"/>
        <w:jc w:val="both"/>
        <w:rPr>
          <w:rFonts w:ascii="Garamond" w:hAnsi="Garamond"/>
        </w:rPr>
      </w:pPr>
    </w:p>
    <w:tbl>
      <w:tblPr>
        <w:tblW w:w="150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7"/>
        <w:gridCol w:w="6378"/>
        <w:gridCol w:w="7228"/>
      </w:tblGrid>
      <w:tr w:rsidR="00382B53" w14:paraId="7646C359" w14:textId="77777777" w:rsidTr="007D7B60">
        <w:tc>
          <w:tcPr>
            <w:tcW w:w="1417" w:type="dxa"/>
            <w:vAlign w:val="center"/>
          </w:tcPr>
          <w:p w14:paraId="58ED49E3" w14:textId="77777777" w:rsidR="00382B53" w:rsidRDefault="00382B53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№</w:t>
            </w:r>
          </w:p>
          <w:p w14:paraId="22386734" w14:textId="77777777" w:rsidR="00382B53" w:rsidRDefault="00382B53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378" w:type="dxa"/>
          </w:tcPr>
          <w:p w14:paraId="68DBF248" w14:textId="77777777" w:rsidR="00382B53" w:rsidRDefault="00382B53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58EA9D6E" w14:textId="77777777" w:rsidR="00382B53" w:rsidRDefault="00382B53" w:rsidP="005A7899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7228" w:type="dxa"/>
          </w:tcPr>
          <w:p w14:paraId="3BA666AB" w14:textId="77777777" w:rsidR="00382B53" w:rsidRDefault="00382B53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Предлагаемая редакция</w:t>
            </w:r>
          </w:p>
          <w:p w14:paraId="79BD8290" w14:textId="77777777" w:rsidR="00382B53" w:rsidRDefault="00382B53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382B53" w14:paraId="471A0E4D" w14:textId="77777777" w:rsidTr="007D7B60">
        <w:tc>
          <w:tcPr>
            <w:tcW w:w="1417" w:type="dxa"/>
            <w:vAlign w:val="center"/>
          </w:tcPr>
          <w:p w14:paraId="13C1230C" w14:textId="77777777" w:rsidR="00382B53" w:rsidRDefault="00382B53" w:rsidP="005A7899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2.1.1</w:t>
            </w:r>
          </w:p>
        </w:tc>
        <w:tc>
          <w:tcPr>
            <w:tcW w:w="6378" w:type="dxa"/>
          </w:tcPr>
          <w:p w14:paraId="736A449E" w14:textId="77777777" w:rsidR="00382B53" w:rsidRDefault="00382B53" w:rsidP="005A7899">
            <w:pPr>
              <w:pStyle w:val="10"/>
              <w:spacing w:before="120" w:after="120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Договоры на оптовом рынке</w:t>
            </w:r>
          </w:p>
          <w:p w14:paraId="4ED7699E" w14:textId="77777777" w:rsidR="00382B53" w:rsidRDefault="00382B53" w:rsidP="005A7899">
            <w:pPr>
              <w:pStyle w:val="1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Контроль расчетов участников на ОРЭМ</w:t>
            </w:r>
            <w:r w:rsidRPr="00075904">
              <w:rPr>
                <w:rFonts w:ascii="Garamond" w:hAnsi="Garamond"/>
                <w:sz w:val="22"/>
                <w:szCs w:val="22"/>
                <w:highlight w:val="yellow"/>
              </w:rPr>
              <w:t xml:space="preserve">, за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исключением единого закупщика на территории новых субъектов Российской Федерации</w:t>
            </w:r>
            <w:r w:rsidRPr="00075904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>
              <w:rPr>
                <w:rFonts w:ascii="Garamond" w:hAnsi="Garamond"/>
                <w:sz w:val="22"/>
                <w:szCs w:val="22"/>
              </w:rPr>
              <w:t xml:space="preserve"> в рамках настоящего Регламента осуществляется по следующим договорам на оптовом рынке:</w:t>
            </w:r>
          </w:p>
          <w:p w14:paraId="38FBB4EE" w14:textId="77777777" w:rsidR="00382B53" w:rsidRDefault="00382B53" w:rsidP="005A7899">
            <w:pPr>
              <w:pStyle w:val="10"/>
              <w:spacing w:before="120" w:after="120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</w:tc>
        <w:tc>
          <w:tcPr>
            <w:tcW w:w="7228" w:type="dxa"/>
          </w:tcPr>
          <w:p w14:paraId="2B58E2D5" w14:textId="77777777" w:rsidR="00382B53" w:rsidRDefault="00382B53" w:rsidP="005A7899">
            <w:pPr>
              <w:pStyle w:val="10"/>
              <w:spacing w:before="120" w:after="120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Договоры на оптовом рынке</w:t>
            </w:r>
          </w:p>
          <w:p w14:paraId="0C02CD17" w14:textId="77777777" w:rsidR="00382B53" w:rsidRDefault="00382B53" w:rsidP="005A7899">
            <w:pPr>
              <w:pStyle w:val="1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Контроль расчетов участников на ОРЭМ</w:t>
            </w:r>
            <w:r w:rsidRPr="00075904">
              <w:rPr>
                <w:rFonts w:ascii="Garamond" w:hAnsi="Garamond"/>
                <w:sz w:val="22"/>
                <w:szCs w:val="22"/>
                <w:highlight w:val="yellow"/>
              </w:rPr>
              <w:t xml:space="preserve">, за </w:t>
            </w:r>
            <w:r>
              <w:rPr>
                <w:rFonts w:ascii="Garamond" w:hAnsi="Garamond"/>
                <w:sz w:val="22"/>
                <w:szCs w:val="22"/>
                <w:highlight w:val="yellow"/>
              </w:rPr>
              <w:t>исключением единого закупщика на территории новых субъектов Российской Федерации до 31.01.2026 (включительно)</w:t>
            </w:r>
            <w:bookmarkStart w:id="2" w:name="_GoBack"/>
            <w:bookmarkEnd w:id="2"/>
            <w:r w:rsidRPr="00075904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>
              <w:rPr>
                <w:rFonts w:ascii="Garamond" w:hAnsi="Garamond"/>
                <w:sz w:val="22"/>
                <w:szCs w:val="22"/>
              </w:rPr>
              <w:t xml:space="preserve"> в рамках настоящего Регламента осуществляется по следующим договорам на оптовом рынке:</w:t>
            </w:r>
          </w:p>
          <w:p w14:paraId="62829850" w14:textId="77777777" w:rsidR="00382B53" w:rsidRDefault="00382B53" w:rsidP="005A7899">
            <w:pPr>
              <w:widowControl w:val="0"/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...</w:t>
            </w:r>
          </w:p>
        </w:tc>
      </w:tr>
    </w:tbl>
    <w:p w14:paraId="4DA386A0" w14:textId="77777777" w:rsidR="00382B53" w:rsidRDefault="00382B53" w:rsidP="00382B53">
      <w:pPr>
        <w:pStyle w:val="a3"/>
        <w:rPr>
          <w:rFonts w:ascii="Garamond" w:hAnsi="Garamond"/>
          <w:b/>
          <w:sz w:val="24"/>
          <w:szCs w:val="24"/>
          <w:lang w:val="ru-RU"/>
        </w:rPr>
      </w:pPr>
    </w:p>
    <w:p w14:paraId="15707C1F" w14:textId="77777777" w:rsidR="00382B53" w:rsidRDefault="00382B53" w:rsidP="00382B53">
      <w:pPr>
        <w:spacing w:after="0" w:line="240" w:lineRule="auto"/>
        <w:rPr>
          <w:rFonts w:ascii="Garamond" w:hAnsi="Garamond"/>
          <w:b/>
          <w:sz w:val="26"/>
          <w:szCs w:val="26"/>
        </w:rPr>
      </w:pPr>
      <w:r>
        <w:rPr>
          <w:rFonts w:ascii="Garamond" w:eastAsia="Batang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 xml:space="preserve">ПОЛОЖЕНИЕ О ПОРЯДКЕ ПРЕДОСТАВЛЕНИЯ ФИНАНСОВЫХ ГАРАНТИЙ НА оптовом рынке </w:t>
      </w:r>
      <w:r>
        <w:rPr>
          <w:rFonts w:ascii="Garamond" w:hAnsi="Garamond"/>
          <w:b/>
          <w:sz w:val="26"/>
          <w:szCs w:val="26"/>
        </w:rPr>
        <w:t>(</w:t>
      </w:r>
      <w:r>
        <w:rPr>
          <w:rFonts w:ascii="Garamond" w:hAnsi="Garamond"/>
          <w:b/>
          <w:bCs/>
          <w:sz w:val="26"/>
          <w:szCs w:val="26"/>
        </w:rPr>
        <w:t>Приложение № 26 к</w:t>
      </w:r>
      <w:r>
        <w:rPr>
          <w:rFonts w:ascii="Garamond" w:hAnsi="Garamond"/>
          <w:b/>
          <w:bCs/>
          <w:i/>
          <w:sz w:val="26"/>
          <w:szCs w:val="26"/>
        </w:rPr>
        <w:t xml:space="preserve"> </w:t>
      </w:r>
      <w:r>
        <w:rPr>
          <w:rFonts w:ascii="Garamond" w:hAnsi="Garamond"/>
          <w:b/>
          <w:bCs/>
          <w:sz w:val="26"/>
          <w:szCs w:val="26"/>
        </w:rPr>
        <w:t>Д</w:t>
      </w:r>
      <w:r>
        <w:rPr>
          <w:rFonts w:ascii="Garamond" w:hAnsi="Garamond"/>
          <w:b/>
          <w:sz w:val="26"/>
          <w:szCs w:val="26"/>
        </w:rPr>
        <w:t xml:space="preserve">оговору о присоединении к торговой системе оптового рынка) </w:t>
      </w:r>
    </w:p>
    <w:p w14:paraId="17567C7E" w14:textId="77777777" w:rsidR="00382B53" w:rsidRDefault="00382B53" w:rsidP="00382B53">
      <w:pPr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15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7"/>
        <w:gridCol w:w="6795"/>
        <w:gridCol w:w="7213"/>
      </w:tblGrid>
      <w:tr w:rsidR="00382B53" w14:paraId="10479346" w14:textId="77777777" w:rsidTr="005A7899">
        <w:trPr>
          <w:trHeight w:val="442"/>
        </w:trPr>
        <w:tc>
          <w:tcPr>
            <w:tcW w:w="997" w:type="dxa"/>
            <w:vAlign w:val="center"/>
          </w:tcPr>
          <w:p w14:paraId="6BF2AF55" w14:textId="77777777" w:rsidR="00382B53" w:rsidRDefault="00382B53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№</w:t>
            </w:r>
          </w:p>
          <w:p w14:paraId="583D4D9C" w14:textId="77777777" w:rsidR="00382B53" w:rsidRDefault="00382B53" w:rsidP="005A7899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795" w:type="dxa"/>
            <w:vAlign w:val="center"/>
          </w:tcPr>
          <w:p w14:paraId="42D72BB8" w14:textId="77777777" w:rsidR="00382B53" w:rsidRDefault="00382B53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53B507B6" w14:textId="77777777" w:rsidR="00382B53" w:rsidRDefault="00382B53" w:rsidP="005A7899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7213" w:type="dxa"/>
            <w:vAlign w:val="center"/>
          </w:tcPr>
          <w:p w14:paraId="62F5B119" w14:textId="77777777" w:rsidR="00382B53" w:rsidRDefault="00382B53" w:rsidP="005A7899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Предлагаемая редакция</w:t>
            </w:r>
          </w:p>
          <w:p w14:paraId="06980013" w14:textId="77777777" w:rsidR="00382B53" w:rsidRDefault="00382B53" w:rsidP="005A7899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382B53" w14:paraId="6AA656D6" w14:textId="77777777" w:rsidTr="005A7899">
        <w:trPr>
          <w:trHeight w:val="442"/>
        </w:trPr>
        <w:tc>
          <w:tcPr>
            <w:tcW w:w="997" w:type="dxa"/>
            <w:vAlign w:val="center"/>
          </w:tcPr>
          <w:p w14:paraId="24E9AB04" w14:textId="77777777" w:rsidR="00382B53" w:rsidRDefault="00382B53" w:rsidP="005A7899">
            <w:pPr>
              <w:spacing w:after="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1.6</w:t>
            </w:r>
          </w:p>
        </w:tc>
        <w:tc>
          <w:tcPr>
            <w:tcW w:w="6795" w:type="dxa"/>
          </w:tcPr>
          <w:p w14:paraId="33526FFA" w14:textId="79A74447" w:rsidR="00114FC7" w:rsidRDefault="00382B53" w:rsidP="00114FC7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eastAsia="Times New Roman" w:hAnsi="Garamond"/>
                <w:lang w:eastAsia="ru-RU"/>
              </w:rPr>
              <w:t xml:space="preserve">Не позднее 7-го числа месяца </w:t>
            </w:r>
            <w:r>
              <w:rPr>
                <w:rFonts w:ascii="Garamond" w:eastAsia="Times New Roman" w:hAnsi="Garamond"/>
                <w:i/>
                <w:lang w:val="en-US" w:eastAsia="ru-RU"/>
              </w:rPr>
              <w:t>m</w:t>
            </w:r>
            <w:r>
              <w:rPr>
                <w:rFonts w:ascii="Garamond" w:eastAsia="Times New Roman" w:hAnsi="Garamond"/>
                <w:i/>
                <w:lang w:eastAsia="ru-RU"/>
              </w:rPr>
              <w:t>–</w:t>
            </w:r>
            <w:r>
              <w:rPr>
                <w:rFonts w:ascii="Garamond" w:eastAsia="Times New Roman" w:hAnsi="Garamond"/>
                <w:lang w:eastAsia="ru-RU"/>
              </w:rPr>
              <w:t xml:space="preserve">2 Коммерческий оператор (далее – КО) передает в ЦФР в электронном виде за ЭП по форме приложения 2 к настоящему Положению перечень участников оптового рынка, которые хотя бы в отношении одной ГТП потребления в установленном </w:t>
            </w:r>
            <w:r>
              <w:rPr>
                <w:rFonts w:ascii="Garamond" w:eastAsia="Times New Roman" w:hAnsi="Garamond"/>
                <w:i/>
                <w:lang w:eastAsia="ru-RU"/>
              </w:rPr>
              <w:t>Договором о присоединении к торговой системе оптового рынка</w:t>
            </w:r>
            <w:r>
              <w:rPr>
                <w:rFonts w:ascii="Garamond" w:eastAsia="Times New Roman" w:hAnsi="Garamond"/>
                <w:lang w:eastAsia="ru-RU"/>
              </w:rPr>
              <w:t xml:space="preserve"> порядке имеют право на участие в торговле электрической энергией и мощностью на оптовом рынке по состоянию на 1-е число месяца </w:t>
            </w:r>
            <w:r>
              <w:rPr>
                <w:rFonts w:ascii="Garamond" w:eastAsia="Times New Roman" w:hAnsi="Garamond"/>
                <w:i/>
                <w:lang w:val="en-US" w:eastAsia="ru-RU"/>
              </w:rPr>
              <w:t>m</w:t>
            </w:r>
            <w:r>
              <w:rPr>
                <w:rFonts w:ascii="Garamond" w:eastAsia="Times New Roman" w:hAnsi="Garamond"/>
                <w:i/>
                <w:lang w:eastAsia="ru-RU"/>
              </w:rPr>
              <w:t>–</w:t>
            </w:r>
            <w:r>
              <w:rPr>
                <w:rFonts w:ascii="Garamond" w:eastAsia="Times New Roman" w:hAnsi="Garamond"/>
                <w:lang w:eastAsia="ru-RU"/>
              </w:rPr>
              <w:t xml:space="preserve">2. </w:t>
            </w:r>
            <w:r w:rsidR="00114FC7" w:rsidRPr="008D3FD8">
              <w:rPr>
                <w:rFonts w:ascii="Garamond" w:hAnsi="Garamond"/>
              </w:rPr>
              <w:t xml:space="preserve">В данный перечень не включаются ГТП потребления Единого закупщика, функционирующего на территории второй неценовой зоны, единого закупщика на территории </w:t>
            </w:r>
            <w:r w:rsidR="00114FC7" w:rsidRPr="008D3FD8">
              <w:rPr>
                <w:rFonts w:ascii="Garamond" w:eastAsia="Times New Roman" w:hAnsi="Garamond"/>
                <w:szCs w:val="20"/>
              </w:rPr>
              <w:t>новых субъектов Российской Федерации</w:t>
            </w:r>
            <w:r w:rsidR="00114FC7" w:rsidRPr="008D3FD8">
              <w:rPr>
                <w:rFonts w:ascii="Garamond" w:hAnsi="Garamond"/>
              </w:rPr>
              <w:t>.</w:t>
            </w:r>
          </w:p>
        </w:tc>
        <w:tc>
          <w:tcPr>
            <w:tcW w:w="7213" w:type="dxa"/>
          </w:tcPr>
          <w:p w14:paraId="7C9E9425" w14:textId="77777777" w:rsidR="00382B53" w:rsidRDefault="00382B53" w:rsidP="005A7899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Не позднее 7-го числа месяца </w:t>
            </w:r>
            <w:r>
              <w:rPr>
                <w:rFonts w:ascii="Garamond" w:hAnsi="Garamond"/>
                <w:i/>
                <w:lang w:val="en-US"/>
              </w:rPr>
              <w:t>m</w:t>
            </w:r>
            <w:r>
              <w:rPr>
                <w:rFonts w:ascii="Garamond" w:hAnsi="Garamond"/>
                <w:i/>
              </w:rPr>
              <w:t>–</w:t>
            </w:r>
            <w:r>
              <w:rPr>
                <w:rFonts w:ascii="Garamond" w:hAnsi="Garamond"/>
              </w:rPr>
              <w:t xml:space="preserve">2 Коммерческий оператор (далее – КО) передает в ЦФР в электронном виде за ЭП по форме приложения 2 к настоящему Положению перечень участников оптового рынка, которые хотя бы в отношении одной ГТП потребления в установленном </w:t>
            </w:r>
            <w:r>
              <w:rPr>
                <w:rFonts w:ascii="Garamond" w:hAnsi="Garamond"/>
                <w:i/>
              </w:rPr>
              <w:t>Договором о присоединении к торговой системе оптового рынка</w:t>
            </w:r>
            <w:r>
              <w:rPr>
                <w:rFonts w:ascii="Garamond" w:hAnsi="Garamond"/>
              </w:rPr>
              <w:t xml:space="preserve"> порядке имеют право на участие в торговле электрической энергией и мощностью на оптовом рынке по состоянию на 1-е число месяца </w:t>
            </w:r>
            <w:r>
              <w:rPr>
                <w:rFonts w:ascii="Garamond" w:hAnsi="Garamond"/>
                <w:i/>
                <w:lang w:val="en-US"/>
              </w:rPr>
              <w:t>m</w:t>
            </w:r>
            <w:r>
              <w:rPr>
                <w:rFonts w:ascii="Garamond" w:hAnsi="Garamond"/>
                <w:i/>
              </w:rPr>
              <w:t>–</w:t>
            </w:r>
            <w:r>
              <w:rPr>
                <w:rFonts w:ascii="Garamond" w:hAnsi="Garamond"/>
              </w:rPr>
              <w:t xml:space="preserve">2. </w:t>
            </w:r>
            <w:r w:rsidRPr="008D3FD8">
              <w:rPr>
                <w:rFonts w:ascii="Garamond" w:eastAsia="Times New Roman" w:hAnsi="Garamond"/>
                <w:lang w:eastAsia="ru-RU"/>
              </w:rPr>
              <w:t>В данный перечень не включаются ГТП потребления Единого закупщика, функционирующего на территории второй неценовой зоны, единого закупщика на территории новых субъектов Российской Федерации</w:t>
            </w:r>
            <w:r w:rsidRPr="008D3FD8">
              <w:rPr>
                <w:rFonts w:ascii="Garamond" w:eastAsia="Times New Roman" w:hAnsi="Garamond"/>
                <w:szCs w:val="20"/>
              </w:rPr>
              <w:t xml:space="preserve"> </w:t>
            </w:r>
            <w:r w:rsidRPr="005D11D0">
              <w:rPr>
                <w:rFonts w:ascii="Garamond" w:hAnsi="Garamond"/>
                <w:highlight w:val="yellow"/>
              </w:rPr>
              <w:t>до 31</w:t>
            </w:r>
            <w:r>
              <w:rPr>
                <w:rFonts w:ascii="Garamond" w:hAnsi="Garamond"/>
                <w:highlight w:val="yellow"/>
              </w:rPr>
              <w:t>.01.2026 (включительно)</w:t>
            </w:r>
            <w:r w:rsidRPr="008D3FD8">
              <w:rPr>
                <w:rFonts w:ascii="Garamond" w:hAnsi="Garamond"/>
              </w:rPr>
              <w:t>.</w:t>
            </w:r>
          </w:p>
        </w:tc>
      </w:tr>
    </w:tbl>
    <w:p w14:paraId="0A5E3247" w14:textId="77777777" w:rsidR="000C5377" w:rsidRDefault="000C5377"/>
    <w:sectPr w:rsidR="000C5377" w:rsidSect="00074677">
      <w:pgSz w:w="16838" w:h="11906" w:orient="landscape"/>
      <w:pgMar w:top="1134" w:right="851" w:bottom="85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C14834"/>
    <w:multiLevelType w:val="hybridMultilevel"/>
    <w:tmpl w:val="909A0100"/>
    <w:lvl w:ilvl="0" w:tplc="05A27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B53"/>
    <w:rsid w:val="00000423"/>
    <w:rsid w:val="00074677"/>
    <w:rsid w:val="00075904"/>
    <w:rsid w:val="000C5377"/>
    <w:rsid w:val="00114FC7"/>
    <w:rsid w:val="001A78B1"/>
    <w:rsid w:val="00302A3E"/>
    <w:rsid w:val="00382B53"/>
    <w:rsid w:val="00447744"/>
    <w:rsid w:val="004D760F"/>
    <w:rsid w:val="005D11D0"/>
    <w:rsid w:val="00736A4F"/>
    <w:rsid w:val="007D7B60"/>
    <w:rsid w:val="00877C1D"/>
    <w:rsid w:val="008D3FD8"/>
    <w:rsid w:val="00C4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DB364"/>
  <w15:chartTrackingRefBased/>
  <w15:docId w15:val="{151FB59D-DB31-4CFA-A1B0-162C45FC0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B53"/>
    <w:rPr>
      <w:rFonts w:ascii="Calibri" w:eastAsia="Calibri" w:hAnsi="Calibri" w:cs="Times New Roman"/>
    </w:rPr>
  </w:style>
  <w:style w:type="paragraph" w:styleId="2">
    <w:name w:val="heading 2"/>
    <w:aliases w:val="h2,h21,5,Заголовок пункта (1.1),Reset numbering,222"/>
    <w:basedOn w:val="a"/>
    <w:next w:val="a"/>
    <w:link w:val="20"/>
    <w:uiPriority w:val="99"/>
    <w:qFormat/>
    <w:rsid w:val="00382B53"/>
    <w:pPr>
      <w:keepNext/>
      <w:spacing w:after="0" w:line="240" w:lineRule="auto"/>
      <w:outlineLvl w:val="1"/>
    </w:pPr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1 Знак,5 Знак,Заголовок пункта (1.1) Знак,Reset numbering Знак,222 Знак"/>
    <w:basedOn w:val="a0"/>
    <w:link w:val="2"/>
    <w:uiPriority w:val="99"/>
    <w:rsid w:val="00382B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aliases w:val="body text"/>
    <w:basedOn w:val="a"/>
    <w:link w:val="1"/>
    <w:uiPriority w:val="99"/>
    <w:rsid w:val="00382B53"/>
    <w:pPr>
      <w:spacing w:before="120" w:after="120" w:line="240" w:lineRule="auto"/>
      <w:jc w:val="both"/>
    </w:pPr>
    <w:rPr>
      <w:rFonts w:ascii="Times New Roman" w:eastAsia="Times New Roman" w:hAnsi="Times New Roman"/>
      <w:sz w:val="20"/>
      <w:szCs w:val="20"/>
      <w:lang w:val="en-GB" w:eastAsia="ru-RU"/>
    </w:rPr>
  </w:style>
  <w:style w:type="character" w:customStyle="1" w:styleId="a4">
    <w:name w:val="Основной текст Знак"/>
    <w:basedOn w:val="a0"/>
    <w:uiPriority w:val="99"/>
    <w:semiHidden/>
    <w:rsid w:val="00382B53"/>
    <w:rPr>
      <w:rFonts w:ascii="Calibri" w:eastAsia="Calibri" w:hAnsi="Calibri" w:cs="Times New Roman"/>
    </w:rPr>
  </w:style>
  <w:style w:type="character" w:customStyle="1" w:styleId="1">
    <w:name w:val="Основной текст Знак1"/>
    <w:aliases w:val="body text Знак"/>
    <w:basedOn w:val="a0"/>
    <w:link w:val="a3"/>
    <w:uiPriority w:val="99"/>
    <w:locked/>
    <w:rsid w:val="00382B53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10">
    <w:name w:val="Обычный1"/>
    <w:uiPriority w:val="99"/>
    <w:rsid w:val="00382B53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BodyText212">
    <w:name w:val="Body Text 212"/>
    <w:basedOn w:val="a"/>
    <w:rsid w:val="00382B53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382B5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82B5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82B53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382B5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82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82B5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2010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Пряхина Ирина Игоревна</dc:creator>
  <cp:keywords/>
  <dc:description/>
  <cp:lastModifiedBy>Гирина Марина Владимировна</cp:lastModifiedBy>
  <cp:revision>11</cp:revision>
  <dcterms:created xsi:type="dcterms:W3CDTF">2024-12-17T21:25:00Z</dcterms:created>
  <dcterms:modified xsi:type="dcterms:W3CDTF">2024-12-23T06:03:00Z</dcterms:modified>
</cp:coreProperties>
</file>