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CA" w:rsidRDefault="002F6526" w:rsidP="00485071">
      <w:pPr>
        <w:jc w:val="center"/>
        <w:rPr>
          <w:b/>
          <w:sz w:val="32"/>
          <w:szCs w:val="28"/>
        </w:rPr>
      </w:pPr>
      <w:r w:rsidRPr="00AF2D4A">
        <w:rPr>
          <w:b/>
          <w:sz w:val="32"/>
          <w:szCs w:val="28"/>
        </w:rPr>
        <w:t xml:space="preserve">Отчет об итогах реализации публичной декларации </w:t>
      </w:r>
    </w:p>
    <w:p w:rsidR="002F6526" w:rsidRDefault="002F6526" w:rsidP="00485071">
      <w:pPr>
        <w:jc w:val="center"/>
        <w:rPr>
          <w:b/>
          <w:sz w:val="32"/>
          <w:szCs w:val="28"/>
        </w:rPr>
      </w:pPr>
      <w:r w:rsidRPr="00AF2D4A">
        <w:rPr>
          <w:b/>
          <w:sz w:val="32"/>
          <w:szCs w:val="28"/>
        </w:rPr>
        <w:t>целей и задач Минэнерго России за первое полугодие 2013 года</w:t>
      </w:r>
    </w:p>
    <w:p w:rsidR="00CC1D61" w:rsidRDefault="00CC1D61" w:rsidP="002F6526">
      <w:pPr>
        <w:spacing w:line="360" w:lineRule="auto"/>
        <w:jc w:val="center"/>
        <w:rPr>
          <w:sz w:val="24"/>
        </w:rPr>
      </w:pPr>
    </w:p>
    <w:p w:rsidR="00485071" w:rsidRPr="00AF2D4A" w:rsidRDefault="00485071" w:rsidP="00485071">
      <w:pPr>
        <w:spacing w:line="360" w:lineRule="auto"/>
        <w:jc w:val="both"/>
        <w:rPr>
          <w:sz w:val="24"/>
        </w:rPr>
      </w:pPr>
    </w:p>
    <w:p w:rsidR="002F6526" w:rsidRPr="00AF2D4A" w:rsidRDefault="002F6526" w:rsidP="00485071">
      <w:pPr>
        <w:pStyle w:val="a7"/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rFonts w:ascii="Times New Roman" w:hAnsi="Times New Roman"/>
        </w:rPr>
      </w:pPr>
      <w:r w:rsidRPr="00AF2D4A">
        <w:rPr>
          <w:rFonts w:ascii="Times New Roman" w:hAnsi="Times New Roman"/>
          <w:b/>
          <w:sz w:val="28"/>
          <w:szCs w:val="28"/>
        </w:rPr>
        <w:t xml:space="preserve">Упрощение процедуры подключения потребителей </w:t>
      </w:r>
      <w:r w:rsidR="00A76BA4">
        <w:rPr>
          <w:rFonts w:ascii="Times New Roman" w:hAnsi="Times New Roman"/>
          <w:b/>
          <w:sz w:val="28"/>
          <w:szCs w:val="28"/>
        </w:rPr>
        <w:br/>
      </w:r>
      <w:r w:rsidRPr="00AF2D4A">
        <w:rPr>
          <w:rFonts w:ascii="Times New Roman" w:hAnsi="Times New Roman"/>
          <w:b/>
          <w:sz w:val="28"/>
          <w:szCs w:val="28"/>
        </w:rPr>
        <w:t>к электрическим сетям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b/>
          <w:szCs w:val="28"/>
        </w:rPr>
        <w:t xml:space="preserve">Описание задачи: 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szCs w:val="28"/>
        </w:rPr>
        <w:t>Повышение доступности электросетевой инфраструктуры посредством ликвидации бюрократических барьеров при осуществлени</w:t>
      </w:r>
      <w:r w:rsidR="00627C3D">
        <w:rPr>
          <w:szCs w:val="28"/>
        </w:rPr>
        <w:t>и технологического присоединения</w:t>
      </w:r>
      <w:r w:rsidRPr="00AF2D4A">
        <w:rPr>
          <w:szCs w:val="28"/>
        </w:rPr>
        <w:t>. Реализация дорожной карты «Повышение доступности энергетической инфраструктуры», утвержденной распоряжением Правительства Российской Федерации от 30.06.2012 № 1144-р.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b/>
          <w:szCs w:val="28"/>
        </w:rPr>
        <w:t>Ожидаемый стратегический эффект: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szCs w:val="28"/>
        </w:rPr>
        <w:t>Улучшение условий для ведения малого и среднего бизнеса, снижение финансовой и организационной нагрузки на предпринимателей; повышение деловой активности населения.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b/>
          <w:szCs w:val="28"/>
        </w:rPr>
        <w:t>Целевые показатели на 2013 год: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szCs w:val="28"/>
        </w:rPr>
        <w:t xml:space="preserve">1) Уменьшение </w:t>
      </w:r>
      <w:r w:rsidR="00627C3D" w:rsidRPr="00AF2D4A">
        <w:rPr>
          <w:szCs w:val="28"/>
        </w:rPr>
        <w:t>с 10 до 6</w:t>
      </w:r>
      <w:r w:rsidR="00627C3D">
        <w:rPr>
          <w:szCs w:val="28"/>
        </w:rPr>
        <w:t xml:space="preserve"> </w:t>
      </w:r>
      <w:r w:rsidRPr="00AF2D4A">
        <w:rPr>
          <w:szCs w:val="28"/>
        </w:rPr>
        <w:t>количества этапов, которые проходят потребители мощности до 150 кВ при выполнении проце</w:t>
      </w:r>
      <w:r w:rsidR="00627C3D">
        <w:rPr>
          <w:szCs w:val="28"/>
        </w:rPr>
        <w:t>дуры подключения к электросетям</w:t>
      </w:r>
      <w:r w:rsidRPr="00AF2D4A">
        <w:rPr>
          <w:szCs w:val="28"/>
        </w:rPr>
        <w:t>.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szCs w:val="28"/>
        </w:rPr>
        <w:t>2)</w:t>
      </w:r>
      <w:r w:rsidR="00406C9D">
        <w:rPr>
          <w:szCs w:val="28"/>
        </w:rPr>
        <w:t xml:space="preserve"> </w:t>
      </w:r>
      <w:r w:rsidRPr="00AF2D4A">
        <w:rPr>
          <w:szCs w:val="28"/>
        </w:rPr>
        <w:t xml:space="preserve">Уменьшение количества дней, необходимых для подключения потребителей мощности до 150 кВ, с 280 до 195. 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b/>
          <w:szCs w:val="28"/>
        </w:rPr>
        <w:t>Отчет о достижении целевых показателей: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szCs w:val="28"/>
        </w:rPr>
        <w:t xml:space="preserve">1) По состоянию на 23 сентября 2013 года количество этапов, которые проходят потребители мощности до 150 кВ при выполнении процедуры подключения к электросетям, сокращено с 10 до </w:t>
      </w:r>
      <w:r w:rsidRPr="00AF2D4A">
        <w:rPr>
          <w:b/>
          <w:szCs w:val="28"/>
        </w:rPr>
        <w:t>7 этапов</w:t>
      </w:r>
      <w:r w:rsidRPr="00AF2D4A">
        <w:rPr>
          <w:szCs w:val="28"/>
        </w:rPr>
        <w:t>.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szCs w:val="28"/>
        </w:rPr>
        <w:t xml:space="preserve">2) По состоянию на </w:t>
      </w:r>
      <w:r w:rsidR="00627C3D">
        <w:rPr>
          <w:szCs w:val="28"/>
        </w:rPr>
        <w:t>1 окт</w:t>
      </w:r>
      <w:r w:rsidRPr="00AF2D4A">
        <w:rPr>
          <w:szCs w:val="28"/>
        </w:rPr>
        <w:t>ября 2013 года целевой показатель достигнут в полном объеме: максимальный срок, необходимый для подключения потребителей мощности до 150 кВ, сокращен</w:t>
      </w:r>
      <w:r w:rsidR="00627C3D">
        <w:rPr>
          <w:szCs w:val="28"/>
        </w:rPr>
        <w:t xml:space="preserve"> </w:t>
      </w:r>
      <w:r w:rsidRPr="00AF2D4A">
        <w:rPr>
          <w:b/>
          <w:szCs w:val="28"/>
        </w:rPr>
        <w:t>до 195 дней.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b/>
          <w:szCs w:val="28"/>
        </w:rPr>
        <w:lastRenderedPageBreak/>
        <w:t>Отчет о выполнении мероприятий по достижению целевых показателей: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szCs w:val="28"/>
        </w:rPr>
        <w:t>До начала реализации мероприятий Минэнерго России по</w:t>
      </w:r>
      <w:r w:rsidR="00627C3D">
        <w:rPr>
          <w:szCs w:val="28"/>
        </w:rPr>
        <w:t xml:space="preserve"> достижению целевых показателей</w:t>
      </w:r>
      <w:r w:rsidRPr="00AF2D4A">
        <w:rPr>
          <w:szCs w:val="28"/>
        </w:rPr>
        <w:t xml:space="preserve"> заявитель на выполнение процедуры технологического присоединения должен был пройти 10 этапов: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szCs w:val="28"/>
        </w:rPr>
        <w:t>1.</w:t>
      </w:r>
      <w:r w:rsidRPr="00AF2D4A">
        <w:rPr>
          <w:szCs w:val="28"/>
        </w:rPr>
        <w:tab/>
        <w:t>Подача заявки на технологическое присоединение;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szCs w:val="28"/>
        </w:rPr>
        <w:t>2.</w:t>
      </w:r>
      <w:r w:rsidRPr="00AF2D4A">
        <w:rPr>
          <w:szCs w:val="28"/>
        </w:rPr>
        <w:tab/>
        <w:t>Ожидание завершения и утверждения проектной документации;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szCs w:val="28"/>
        </w:rPr>
        <w:t>3.</w:t>
      </w:r>
      <w:r w:rsidRPr="00AF2D4A">
        <w:rPr>
          <w:szCs w:val="28"/>
        </w:rPr>
        <w:tab/>
        <w:t>Получения заявителем разрешений на строительство объ</w:t>
      </w:r>
      <w:r w:rsidR="00CB7354">
        <w:rPr>
          <w:szCs w:val="28"/>
        </w:rPr>
        <w:t>ектов электросетевого хозяйства</w:t>
      </w:r>
      <w:r w:rsidRPr="00AF2D4A">
        <w:rPr>
          <w:szCs w:val="28"/>
        </w:rPr>
        <w:t xml:space="preserve"> на территории, находящейся за пределами участка заявителя, до электросетевых объектов сетевой организации;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szCs w:val="28"/>
        </w:rPr>
        <w:t>4.</w:t>
      </w:r>
      <w:r w:rsidRPr="00AF2D4A">
        <w:rPr>
          <w:szCs w:val="28"/>
        </w:rPr>
        <w:tab/>
        <w:t>Выполнение работ согласно техническим условиям;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szCs w:val="28"/>
        </w:rPr>
        <w:t>5.</w:t>
      </w:r>
      <w:r w:rsidRPr="00AF2D4A">
        <w:rPr>
          <w:szCs w:val="28"/>
        </w:rPr>
        <w:tab/>
        <w:t>Получение в сетевой организации документа о выполнении работ в соответствии с техническими условиями;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szCs w:val="28"/>
        </w:rPr>
        <w:t>6.</w:t>
      </w:r>
      <w:r w:rsidRPr="00AF2D4A">
        <w:rPr>
          <w:szCs w:val="28"/>
        </w:rPr>
        <w:tab/>
        <w:t>Проверка счётчика сбытовой организацией;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szCs w:val="28"/>
        </w:rPr>
        <w:t>7.</w:t>
      </w:r>
      <w:r w:rsidRPr="00AF2D4A">
        <w:rPr>
          <w:szCs w:val="28"/>
        </w:rPr>
        <w:tab/>
        <w:t>Получение и заполнение анкеты;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szCs w:val="28"/>
        </w:rPr>
        <w:t>8.</w:t>
      </w:r>
      <w:r w:rsidRPr="00AF2D4A">
        <w:rPr>
          <w:szCs w:val="28"/>
        </w:rPr>
        <w:tab/>
        <w:t>Осуществление сетевой организацией фактич</w:t>
      </w:r>
      <w:r w:rsidR="00CB7354">
        <w:rPr>
          <w:szCs w:val="28"/>
        </w:rPr>
        <w:t>еских действий по присоединению;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szCs w:val="28"/>
        </w:rPr>
        <w:t>9.</w:t>
      </w:r>
      <w:r w:rsidRPr="00AF2D4A">
        <w:rPr>
          <w:szCs w:val="28"/>
        </w:rPr>
        <w:tab/>
        <w:t>Проверка завершения работ Ростехнадзором и выдача разр</w:t>
      </w:r>
      <w:r w:rsidR="00CB7354">
        <w:rPr>
          <w:szCs w:val="28"/>
        </w:rPr>
        <w:t>ешения на допуск в эксплуатацию;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szCs w:val="28"/>
        </w:rPr>
        <w:t>10.</w:t>
      </w:r>
      <w:r w:rsidRPr="00AF2D4A">
        <w:rPr>
          <w:szCs w:val="28"/>
        </w:rPr>
        <w:tab/>
        <w:t xml:space="preserve">Заключение договора на поставку электроэнергии и подача напряжения. 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jc w:val="both"/>
      </w:pPr>
      <w:r w:rsidRPr="00AF2D4A">
        <w:rPr>
          <w:szCs w:val="28"/>
        </w:rPr>
        <w:tab/>
        <w:t>Для сокращения количества этапов, которые проходят потребители мощности до 150 кВ при выполнении процедуры подключения к электросетям, были проведены следующие мероприятия:</w:t>
      </w:r>
    </w:p>
    <w:p w:rsidR="002F6526" w:rsidRPr="00AF2D4A" w:rsidRDefault="002F6526" w:rsidP="002F6526">
      <w:pPr>
        <w:numPr>
          <w:ilvl w:val="0"/>
          <w:numId w:val="3"/>
        </w:numPr>
        <w:tabs>
          <w:tab w:val="left" w:pos="2160"/>
        </w:tabs>
        <w:suppressAutoHyphens/>
        <w:spacing w:after="200" w:line="360" w:lineRule="auto"/>
        <w:ind w:left="1080"/>
        <w:jc w:val="both"/>
      </w:pPr>
      <w:r w:rsidRPr="00AF2D4A">
        <w:rPr>
          <w:szCs w:val="28"/>
        </w:rPr>
        <w:t xml:space="preserve">Отменена необходимость обязательного согласования проектной документации для заявителей до 150 кВт. Согласование может быть осуществлено по желанию заявителя </w:t>
      </w:r>
      <w:r w:rsidRPr="00AF2D4A">
        <w:rPr>
          <w:i/>
          <w:sz w:val="24"/>
          <w:szCs w:val="24"/>
        </w:rPr>
        <w:t>(постановление Правительства Российской Федерации от 29.07.2013 № 640 – пункт 3 (часть 1) дорожной карты)</w:t>
      </w:r>
      <w:r w:rsidRPr="00AF2D4A">
        <w:rPr>
          <w:szCs w:val="28"/>
        </w:rPr>
        <w:t xml:space="preserve">. Итог выполнения: достигнута задача по сокращению 1 этапа при прохождении процедуры технологического присоединения, </w:t>
      </w:r>
      <w:r w:rsidR="00DC07CA">
        <w:rPr>
          <w:szCs w:val="28"/>
        </w:rPr>
        <w:br/>
      </w:r>
      <w:r w:rsidRPr="00AF2D4A">
        <w:rPr>
          <w:szCs w:val="28"/>
        </w:rPr>
        <w:lastRenderedPageBreak/>
        <w:t xml:space="preserve">за счет чего общее количество этапов технологического присоединения к электросетевой инфраструктуре сокращается до 9 этапов. </w:t>
      </w:r>
    </w:p>
    <w:p w:rsidR="002F6526" w:rsidRPr="00AF2D4A" w:rsidRDefault="002F6526" w:rsidP="002F6526">
      <w:pPr>
        <w:numPr>
          <w:ilvl w:val="0"/>
          <w:numId w:val="3"/>
        </w:numPr>
        <w:tabs>
          <w:tab w:val="left" w:pos="2160"/>
        </w:tabs>
        <w:suppressAutoHyphens/>
        <w:spacing w:after="200" w:line="360" w:lineRule="auto"/>
        <w:ind w:left="1080"/>
        <w:jc w:val="both"/>
      </w:pPr>
      <w:r w:rsidRPr="00AF2D4A">
        <w:rPr>
          <w:szCs w:val="28"/>
        </w:rPr>
        <w:t>Утвержден уведомительный порядок введения установленного потребителем прибора учета в эксплуатацию. Присутствие</w:t>
      </w:r>
      <w:r w:rsidR="00CB7354">
        <w:rPr>
          <w:szCs w:val="28"/>
        </w:rPr>
        <w:t xml:space="preserve"> представителя</w:t>
      </w:r>
      <w:r w:rsidRPr="00AF2D4A">
        <w:rPr>
          <w:szCs w:val="28"/>
        </w:rPr>
        <w:t xml:space="preserve"> энергосбытовой и (или) сетевой организации при вводе в эксплуатацию прибора учёта не обязательно </w:t>
      </w:r>
      <w:r w:rsidRPr="00AF2D4A">
        <w:rPr>
          <w:i/>
          <w:sz w:val="24"/>
          <w:szCs w:val="24"/>
        </w:rPr>
        <w:t>(постановление Правительства Российской Федерации от 04.05.2012 № 442 - пункт 9 дорожной карты)</w:t>
      </w:r>
      <w:r w:rsidRPr="00AF2D4A">
        <w:rPr>
          <w:szCs w:val="28"/>
        </w:rPr>
        <w:t>. Итог выполнения: достигнута задача по сокращению 1 этапа при прохождении процедуры технологического присоединения, общее количество этапов сокращено до 8 этапов.</w:t>
      </w:r>
    </w:p>
    <w:p w:rsidR="002F6526" w:rsidRPr="00AF2D4A" w:rsidRDefault="002F6526" w:rsidP="002F6526">
      <w:pPr>
        <w:numPr>
          <w:ilvl w:val="0"/>
          <w:numId w:val="3"/>
        </w:numPr>
        <w:tabs>
          <w:tab w:val="left" w:pos="2160"/>
        </w:tabs>
        <w:suppressAutoHyphens/>
        <w:spacing w:after="200" w:line="360" w:lineRule="auto"/>
        <w:ind w:left="1080"/>
        <w:jc w:val="both"/>
      </w:pPr>
      <w:r w:rsidRPr="00AF2D4A">
        <w:rPr>
          <w:szCs w:val="28"/>
        </w:rPr>
        <w:t>Отменена необходимость проведения проверки Ростехнадзором</w:t>
      </w:r>
      <w:r w:rsidR="00CB7354">
        <w:rPr>
          <w:szCs w:val="28"/>
        </w:rPr>
        <w:t xml:space="preserve"> </w:t>
      </w:r>
      <w:r w:rsidRPr="00AF2D4A">
        <w:rPr>
          <w:szCs w:val="28"/>
        </w:rPr>
        <w:t xml:space="preserve">энергопринимающих устройств заявителя. Теперь энергопринимающие устройства заявителя проверяются сетевой компанией в ходе оценки технических условий для выполнения </w:t>
      </w:r>
      <w:r w:rsidR="00CB7354">
        <w:rPr>
          <w:szCs w:val="28"/>
        </w:rPr>
        <w:t>технологического присоединения.</w:t>
      </w:r>
      <w:r w:rsidRPr="00AF2D4A">
        <w:rPr>
          <w:szCs w:val="28"/>
        </w:rPr>
        <w:t xml:space="preserve"> В Ростехнадзор направляется уведомление о выполнении надлежащего ввода в эксплуатацию объектов, заверенное сетевой организацией </w:t>
      </w:r>
      <w:r w:rsidRPr="00AF2D4A">
        <w:rPr>
          <w:i/>
          <w:szCs w:val="28"/>
        </w:rPr>
        <w:t>(постановление Правительства Российской Федерации от 20.12.2012 № 1354 - 1 этап дорожной карты)</w:t>
      </w:r>
      <w:r w:rsidRPr="00AF2D4A">
        <w:rPr>
          <w:szCs w:val="28"/>
        </w:rPr>
        <w:t>. Итог: два этапа объединены один, за счет чего общее количество этапов сокращено до 7 этапов.</w:t>
      </w:r>
    </w:p>
    <w:p w:rsidR="002F6526" w:rsidRPr="00AF2D4A" w:rsidRDefault="002F6526" w:rsidP="002F6526">
      <w:pPr>
        <w:spacing w:line="360" w:lineRule="auto"/>
        <w:ind w:left="720"/>
        <w:jc w:val="both"/>
      </w:pPr>
      <w:r w:rsidRPr="00AF2D4A">
        <w:rPr>
          <w:szCs w:val="28"/>
        </w:rPr>
        <w:t>Находятся в стадии выполнения следующие мероприятия:</w:t>
      </w:r>
    </w:p>
    <w:p w:rsidR="002F6526" w:rsidRPr="00AF2D4A" w:rsidRDefault="002F6526" w:rsidP="002F6526">
      <w:pPr>
        <w:numPr>
          <w:ilvl w:val="0"/>
          <w:numId w:val="4"/>
        </w:numPr>
        <w:suppressAutoHyphens/>
        <w:spacing w:after="200" w:line="360" w:lineRule="auto"/>
        <w:ind w:left="1080"/>
        <w:jc w:val="both"/>
      </w:pPr>
      <w:r w:rsidRPr="00AF2D4A">
        <w:rPr>
          <w:szCs w:val="28"/>
        </w:rPr>
        <w:t xml:space="preserve">Разработан Минэнерго России и внесен в Правительство Российской Федерации проект постановления, который позволит объединить два этапа: осуществление фактических действий по присоединению с фактическим приёмом (подачей) напряжения (проект постановления – пункт 11 дорожной карты). Ожидаемый итог: </w:t>
      </w:r>
      <w:r w:rsidRPr="00AF2D4A">
        <w:rPr>
          <w:szCs w:val="28"/>
        </w:rPr>
        <w:lastRenderedPageBreak/>
        <w:t>сокращение общего количества этапов на 1 этап – позволит сократить до 6.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szCs w:val="28"/>
        </w:rPr>
        <w:t>В результате действий Минэнерго до конца 2013 года будет сформирован новый порядок этапов технологического присоединения: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szCs w:val="28"/>
        </w:rPr>
        <w:t>1. Подача заявки;</w:t>
      </w:r>
      <w:r w:rsidR="00406C9D">
        <w:rPr>
          <w:szCs w:val="28"/>
        </w:rPr>
        <w:t xml:space="preserve"> 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szCs w:val="28"/>
        </w:rPr>
        <w:t xml:space="preserve">2. Заключение договора (подготовка и выдача технических условий); 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szCs w:val="28"/>
        </w:rPr>
        <w:t>3. Выполнение технических условий;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szCs w:val="28"/>
        </w:rPr>
        <w:t>4. Проверка сетевой организацией выполнения заявителем технических условий, с выдачей акта о выполнении технических условий и акт осмотра (обследования) сетевой организацией энергопринимающих устройств потребителя;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szCs w:val="28"/>
        </w:rPr>
        <w:t xml:space="preserve"> 5. Осуществление фактических действий по присоединению и приём (подача) напряжения мощности на объекты потребителя; 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szCs w:val="28"/>
        </w:rPr>
        <w:t>6. Составление актов о технологическом присоединении и иных актов, начало энергоснабжения.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szCs w:val="28"/>
        </w:rPr>
        <w:t>Сокращение сроков с 281 дня до 195 дней достигается за счёт следующих мероприятий:</w:t>
      </w:r>
    </w:p>
    <w:p w:rsidR="002F6526" w:rsidRPr="00AF2D4A" w:rsidRDefault="002F6526" w:rsidP="002F6526">
      <w:pPr>
        <w:numPr>
          <w:ilvl w:val="0"/>
          <w:numId w:val="4"/>
        </w:numPr>
        <w:tabs>
          <w:tab w:val="left" w:pos="2160"/>
        </w:tabs>
        <w:suppressAutoHyphens/>
        <w:spacing w:after="200" w:line="360" w:lineRule="auto"/>
        <w:ind w:left="1080"/>
        <w:jc w:val="both"/>
      </w:pPr>
      <w:r w:rsidRPr="00AF2D4A">
        <w:rPr>
          <w:szCs w:val="28"/>
        </w:rPr>
        <w:t xml:space="preserve">В соответствии с предложениями Минэнерго России, максимальный срок направления заявителю договора и технических условий сокращен с 30 до 15 дней </w:t>
      </w:r>
      <w:r w:rsidRPr="00AF2D4A">
        <w:rPr>
          <w:i/>
          <w:sz w:val="24"/>
          <w:szCs w:val="24"/>
        </w:rPr>
        <w:t>(постановление Правительства Российской Федерации от 12.08.2013 № 691 – пункт 33 дорожной карты)</w:t>
      </w:r>
      <w:r w:rsidRPr="00AF2D4A">
        <w:rPr>
          <w:szCs w:val="28"/>
        </w:rPr>
        <w:t xml:space="preserve">. </w:t>
      </w:r>
    </w:p>
    <w:p w:rsidR="002F6526" w:rsidRPr="00AF2D4A" w:rsidRDefault="002F6526" w:rsidP="002F6526">
      <w:pPr>
        <w:numPr>
          <w:ilvl w:val="0"/>
          <w:numId w:val="4"/>
        </w:numPr>
        <w:tabs>
          <w:tab w:val="left" w:pos="2160"/>
        </w:tabs>
        <w:suppressAutoHyphens/>
        <w:spacing w:after="200" w:line="360" w:lineRule="auto"/>
        <w:ind w:left="1080"/>
        <w:jc w:val="both"/>
      </w:pPr>
      <w:r w:rsidRPr="00AF2D4A">
        <w:rPr>
          <w:szCs w:val="28"/>
        </w:rPr>
        <w:t>В соответствии с предложениями Минэнер</w:t>
      </w:r>
      <w:r w:rsidR="004E570A">
        <w:rPr>
          <w:szCs w:val="28"/>
        </w:rPr>
        <w:t>го России, введен общий срок выполнения</w:t>
      </w:r>
      <w:r w:rsidRPr="00AF2D4A">
        <w:rPr>
          <w:szCs w:val="28"/>
        </w:rPr>
        <w:t xml:space="preserve"> всех мероприятий по присоединению с мо</w:t>
      </w:r>
      <w:r w:rsidR="004E570A">
        <w:rPr>
          <w:szCs w:val="28"/>
        </w:rPr>
        <w:t>мента заключения договора –</w:t>
      </w:r>
      <w:r w:rsidRPr="00AF2D4A">
        <w:rPr>
          <w:szCs w:val="28"/>
        </w:rPr>
        <w:t xml:space="preserve"> 1</w:t>
      </w:r>
      <w:r w:rsidR="004E570A">
        <w:rPr>
          <w:szCs w:val="28"/>
        </w:rPr>
        <w:t>80 дней</w:t>
      </w:r>
      <w:r w:rsidRPr="00AF2D4A">
        <w:rPr>
          <w:szCs w:val="28"/>
        </w:rPr>
        <w:t xml:space="preserve"> </w:t>
      </w:r>
      <w:r w:rsidRPr="00AF2D4A">
        <w:rPr>
          <w:i/>
          <w:sz w:val="24"/>
          <w:szCs w:val="24"/>
        </w:rPr>
        <w:t>(постановление Правительства РФ от 26.08.2013 № 737 – пункты 4 и 7 дорожной карты)</w:t>
      </w:r>
      <w:r w:rsidRPr="00AF2D4A">
        <w:rPr>
          <w:szCs w:val="28"/>
        </w:rPr>
        <w:t xml:space="preserve">. А в случаях, когда не требуется реконструкция объекта сетевого хозяйства сетевой организации, такой срок сокращается до 120 дней. 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szCs w:val="28"/>
        </w:rPr>
        <w:lastRenderedPageBreak/>
        <w:t>Кроме того, Минэнерго России проводятся следующие мероприятия по повышению удобства проведения процедуры технологического присоединения:</w:t>
      </w:r>
    </w:p>
    <w:p w:rsidR="002F6526" w:rsidRPr="00AF2D4A" w:rsidRDefault="002F6526" w:rsidP="002F6526">
      <w:pPr>
        <w:numPr>
          <w:ilvl w:val="0"/>
          <w:numId w:val="5"/>
        </w:numPr>
        <w:tabs>
          <w:tab w:val="left" w:pos="2160"/>
        </w:tabs>
        <w:suppressAutoHyphens/>
        <w:spacing w:after="200" w:line="360" w:lineRule="auto"/>
        <w:ind w:left="1080"/>
        <w:jc w:val="both"/>
      </w:pPr>
      <w:r w:rsidRPr="00AF2D4A">
        <w:rPr>
          <w:szCs w:val="28"/>
        </w:rPr>
        <w:t>Минэнерго России разработан и внесен в Правительство Российской Федерации проект постановления, кото</w:t>
      </w:r>
      <w:r w:rsidR="004E570A">
        <w:rPr>
          <w:szCs w:val="28"/>
        </w:rPr>
        <w:t>рый позволит потребителям заключа</w:t>
      </w:r>
      <w:r w:rsidRPr="00AF2D4A">
        <w:rPr>
          <w:szCs w:val="28"/>
        </w:rPr>
        <w:t>ть договор энергоснабжения до окончания процедуры технологического присоединения. Датой начала действия договора энергоснабжения в таком случае будет являться дата подачи напряжения на объект заявителя и подписания актов о выполнении присоединения.</w:t>
      </w:r>
      <w:r w:rsidR="004E570A">
        <w:rPr>
          <w:szCs w:val="28"/>
        </w:rPr>
        <w:t xml:space="preserve"> </w:t>
      </w:r>
      <w:r w:rsidRPr="00AF2D4A">
        <w:rPr>
          <w:szCs w:val="28"/>
        </w:rPr>
        <w:t xml:space="preserve">Также в проекте постановления был уточнен порядок установки и ввода в эксплуатацию прибора учета электрической энергии при осуществлении технологического присоединения </w:t>
      </w:r>
      <w:r w:rsidRPr="00AF2D4A">
        <w:rPr>
          <w:i/>
          <w:sz w:val="24"/>
          <w:szCs w:val="24"/>
        </w:rPr>
        <w:t>(проект постановления подготовлен не в рамках дорожной карты).</w:t>
      </w:r>
    </w:p>
    <w:p w:rsidR="00D86BC3" w:rsidRPr="00D86BC3" w:rsidRDefault="00D86BC3" w:rsidP="002F6526">
      <w:pPr>
        <w:numPr>
          <w:ilvl w:val="0"/>
          <w:numId w:val="5"/>
        </w:numPr>
        <w:tabs>
          <w:tab w:val="left" w:pos="2160"/>
        </w:tabs>
        <w:suppressAutoHyphens/>
        <w:spacing w:after="200" w:line="360" w:lineRule="auto"/>
        <w:ind w:left="1080"/>
        <w:jc w:val="both"/>
      </w:pPr>
      <w:r>
        <w:rPr>
          <w:szCs w:val="28"/>
        </w:rPr>
        <w:t>В</w:t>
      </w:r>
      <w:r>
        <w:rPr>
          <w:bCs/>
          <w:szCs w:val="28"/>
        </w:rPr>
        <w:t xml:space="preserve"> конце октября начнет работу сайт о технологическом присоединении (</w:t>
      </w:r>
      <w:r>
        <w:rPr>
          <w:bCs/>
          <w:szCs w:val="28"/>
          <w:u w:val="single"/>
        </w:rPr>
        <w:t>портал-тп.рф)</w:t>
      </w:r>
      <w:r>
        <w:rPr>
          <w:bCs/>
          <w:szCs w:val="28"/>
        </w:rPr>
        <w:t>, который позволит повысить прозрачность этой процедуры и откроет максимально полный доступ к информации об объектах сетевых организаций, а также правах и обязанностях заявителя.</w:t>
      </w:r>
    </w:p>
    <w:p w:rsidR="002F6526" w:rsidRPr="00AF2D4A" w:rsidRDefault="002F6526" w:rsidP="002F6526">
      <w:pPr>
        <w:numPr>
          <w:ilvl w:val="0"/>
          <w:numId w:val="5"/>
        </w:numPr>
        <w:tabs>
          <w:tab w:val="left" w:pos="2160"/>
        </w:tabs>
        <w:suppressAutoHyphens/>
        <w:spacing w:after="200" w:line="360" w:lineRule="auto"/>
        <w:ind w:left="1080"/>
        <w:jc w:val="both"/>
      </w:pPr>
      <w:r w:rsidRPr="00AF2D4A">
        <w:rPr>
          <w:szCs w:val="28"/>
        </w:rPr>
        <w:t>Раздел, направленный на разъяснения потенциальным заявителям процедуры технологического присоединения, создан на официальном сайте Минэнерго России (</w:t>
      </w:r>
      <w:hyperlink r:id="rId7">
        <w:r w:rsidRPr="00AF2D4A">
          <w:rPr>
            <w:rStyle w:val="InternetLink"/>
            <w:szCs w:val="28"/>
          </w:rPr>
          <w:t>http://minenergo.gov.ru/activity/tehnologicheskoe-prisoedinenie/</w:t>
        </w:r>
      </w:hyperlink>
      <w:r w:rsidRPr="00AF2D4A">
        <w:rPr>
          <w:szCs w:val="28"/>
        </w:rPr>
        <w:t xml:space="preserve">), структура </w:t>
      </w:r>
      <w:r w:rsidR="004E570A">
        <w:rPr>
          <w:szCs w:val="28"/>
        </w:rPr>
        <w:t>под</w:t>
      </w:r>
      <w:r w:rsidRPr="00AF2D4A">
        <w:rPr>
          <w:szCs w:val="28"/>
        </w:rPr>
        <w:t>разделов сервиса вынесена на главную страницу сайта.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szCs w:val="28"/>
        </w:rPr>
        <w:t xml:space="preserve">Исполнение дорожной карты будет осуществляться по 2017 год. Целевым ориентиром реализации дорожной карты избрано вхождение Российской Федерации в топ-20 </w:t>
      </w:r>
      <w:r w:rsidR="004E570A">
        <w:rPr>
          <w:szCs w:val="28"/>
        </w:rPr>
        <w:t xml:space="preserve">ежегодного </w:t>
      </w:r>
      <w:r w:rsidRPr="00AF2D4A">
        <w:rPr>
          <w:szCs w:val="28"/>
        </w:rPr>
        <w:t>рейтинга (</w:t>
      </w:r>
      <w:r w:rsidR="004E570A">
        <w:rPr>
          <w:szCs w:val="28"/>
        </w:rPr>
        <w:t xml:space="preserve">по комплексу из 10 </w:t>
      </w:r>
      <w:r w:rsidR="004E570A">
        <w:rPr>
          <w:szCs w:val="28"/>
        </w:rPr>
        <w:lastRenderedPageBreak/>
        <w:t>показателей)</w:t>
      </w:r>
      <w:r w:rsidRPr="00AF2D4A">
        <w:rPr>
          <w:szCs w:val="28"/>
        </w:rPr>
        <w:t xml:space="preserve"> </w:t>
      </w:r>
      <w:r w:rsidR="004E570A">
        <w:rPr>
          <w:szCs w:val="28"/>
        </w:rPr>
        <w:t>Всемирного банка.</w:t>
      </w:r>
      <w:r w:rsidRPr="00AF2D4A">
        <w:rPr>
          <w:szCs w:val="28"/>
        </w:rPr>
        <w:t xml:space="preserve"> В рейтинге Всемирного банка на 2013 год («Ведение бизнеса 2013») по показателю доступности к электрическим сетям Россия находится на предпоследнем 184-ом месте. Результаты исследования «Ведение бизнеса 2014» будут объявлены Всемирным банком к ноябрю 2013 года.</w:t>
      </w:r>
    </w:p>
    <w:p w:rsidR="00CC1D61" w:rsidRDefault="00CC1D61" w:rsidP="002F6526">
      <w:pPr>
        <w:spacing w:line="360" w:lineRule="auto"/>
        <w:jc w:val="both"/>
        <w:rPr>
          <w:b/>
          <w:szCs w:val="28"/>
        </w:rPr>
      </w:pPr>
    </w:p>
    <w:p w:rsidR="002F6526" w:rsidRPr="00AF2D4A" w:rsidRDefault="002F6526" w:rsidP="002F6526">
      <w:pPr>
        <w:spacing w:line="360" w:lineRule="auto"/>
        <w:jc w:val="both"/>
        <w:rPr>
          <w:b/>
          <w:szCs w:val="28"/>
        </w:rPr>
      </w:pPr>
      <w:r w:rsidRPr="00AF2D4A">
        <w:rPr>
          <w:b/>
          <w:szCs w:val="28"/>
        </w:rPr>
        <w:t>2. Разработка новой модели развития розничного и оптового рынков электроэнергии</w:t>
      </w:r>
    </w:p>
    <w:p w:rsidR="002F6526" w:rsidRPr="00AF2D4A" w:rsidRDefault="002F6526" w:rsidP="002F6526">
      <w:pPr>
        <w:pStyle w:val="a7"/>
        <w:spacing w:line="360" w:lineRule="auto"/>
        <w:ind w:left="360"/>
        <w:jc w:val="both"/>
        <w:rPr>
          <w:rFonts w:ascii="Times New Roman" w:hAnsi="Times New Roman"/>
        </w:rPr>
      </w:pPr>
    </w:p>
    <w:p w:rsidR="002F6526" w:rsidRPr="00AF2D4A" w:rsidRDefault="002F6526" w:rsidP="002F6526">
      <w:pPr>
        <w:pStyle w:val="a7"/>
        <w:spacing w:line="360" w:lineRule="auto"/>
        <w:ind w:left="708"/>
        <w:jc w:val="both"/>
        <w:rPr>
          <w:rFonts w:ascii="Times New Roman" w:hAnsi="Times New Roman"/>
        </w:rPr>
      </w:pPr>
      <w:r w:rsidRPr="00AF2D4A">
        <w:rPr>
          <w:rFonts w:ascii="Times New Roman" w:hAnsi="Times New Roman"/>
          <w:b/>
          <w:sz w:val="28"/>
          <w:szCs w:val="28"/>
        </w:rPr>
        <w:t xml:space="preserve">Описание задачи: </w:t>
      </w:r>
    </w:p>
    <w:p w:rsidR="002F6526" w:rsidRPr="00AF2D4A" w:rsidRDefault="002F6526" w:rsidP="002F6526">
      <w:pPr>
        <w:pStyle w:val="a7"/>
        <w:spacing w:line="360" w:lineRule="auto"/>
        <w:ind w:left="0" w:firstLine="708"/>
        <w:jc w:val="both"/>
        <w:rPr>
          <w:rFonts w:ascii="Times New Roman" w:hAnsi="Times New Roman"/>
        </w:rPr>
      </w:pPr>
      <w:r w:rsidRPr="00AF2D4A">
        <w:rPr>
          <w:rFonts w:ascii="Times New Roman" w:hAnsi="Times New Roman"/>
          <w:sz w:val="28"/>
          <w:szCs w:val="28"/>
        </w:rPr>
        <w:t xml:space="preserve">Создание модели розничного и оптового рынков </w:t>
      </w:r>
      <w:r w:rsidR="00A445E2">
        <w:rPr>
          <w:rFonts w:ascii="Times New Roman" w:hAnsi="Times New Roman"/>
          <w:sz w:val="28"/>
          <w:szCs w:val="28"/>
        </w:rPr>
        <w:t>электроэнергии для формирования</w:t>
      </w:r>
      <w:r w:rsidRPr="00AF2D4A">
        <w:rPr>
          <w:rFonts w:ascii="Times New Roman" w:hAnsi="Times New Roman"/>
          <w:sz w:val="28"/>
          <w:szCs w:val="28"/>
        </w:rPr>
        <w:t xml:space="preserve"> соответствующих стимулов привлечения инвестиций.</w:t>
      </w:r>
    </w:p>
    <w:p w:rsidR="002F6526" w:rsidRPr="00AF2D4A" w:rsidRDefault="002F6526" w:rsidP="002F6526">
      <w:pPr>
        <w:pStyle w:val="a7"/>
        <w:spacing w:line="360" w:lineRule="auto"/>
        <w:ind w:left="708"/>
        <w:jc w:val="both"/>
        <w:rPr>
          <w:rFonts w:ascii="Times New Roman" w:hAnsi="Times New Roman"/>
        </w:rPr>
      </w:pPr>
    </w:p>
    <w:p w:rsidR="002F6526" w:rsidRPr="00AF2D4A" w:rsidRDefault="002F6526" w:rsidP="002F6526">
      <w:pPr>
        <w:pStyle w:val="a7"/>
        <w:spacing w:line="360" w:lineRule="auto"/>
        <w:ind w:left="708"/>
        <w:jc w:val="both"/>
        <w:rPr>
          <w:rFonts w:ascii="Times New Roman" w:hAnsi="Times New Roman"/>
        </w:rPr>
      </w:pPr>
      <w:r w:rsidRPr="00AF2D4A">
        <w:rPr>
          <w:rFonts w:ascii="Times New Roman" w:hAnsi="Times New Roman"/>
          <w:b/>
          <w:sz w:val="28"/>
          <w:szCs w:val="28"/>
        </w:rPr>
        <w:t>Ожидаемый стратегический эффект:</w:t>
      </w:r>
    </w:p>
    <w:p w:rsidR="002F6526" w:rsidRPr="00AF2D4A" w:rsidRDefault="002F6526" w:rsidP="002F6526">
      <w:pPr>
        <w:pStyle w:val="a7"/>
        <w:spacing w:line="360" w:lineRule="auto"/>
        <w:ind w:left="0" w:firstLine="708"/>
        <w:jc w:val="both"/>
        <w:rPr>
          <w:rFonts w:ascii="Times New Roman" w:hAnsi="Times New Roman"/>
        </w:rPr>
      </w:pPr>
      <w:r w:rsidRPr="00AF2D4A">
        <w:rPr>
          <w:rFonts w:ascii="Times New Roman" w:hAnsi="Times New Roman"/>
          <w:sz w:val="28"/>
          <w:szCs w:val="28"/>
        </w:rPr>
        <w:t xml:space="preserve">Увеличение инвестиционной активности частных компаний в условиях стабильного рынка с понятными правилами игры. Уменьшение износа основных производственных фондов, улучшение качества снабжения потребителей. </w:t>
      </w:r>
    </w:p>
    <w:p w:rsidR="002F6526" w:rsidRPr="00AF2D4A" w:rsidRDefault="002F6526" w:rsidP="002F6526">
      <w:pPr>
        <w:pStyle w:val="a7"/>
        <w:spacing w:line="360" w:lineRule="auto"/>
        <w:ind w:left="708"/>
        <w:jc w:val="both"/>
        <w:rPr>
          <w:rFonts w:ascii="Times New Roman" w:hAnsi="Times New Roman"/>
        </w:rPr>
      </w:pPr>
      <w:r w:rsidRPr="00AF2D4A">
        <w:rPr>
          <w:rFonts w:ascii="Times New Roman" w:hAnsi="Times New Roman"/>
          <w:b/>
          <w:sz w:val="28"/>
          <w:szCs w:val="28"/>
        </w:rPr>
        <w:t>Целевой показатель на 2013 год:</w:t>
      </w:r>
    </w:p>
    <w:p w:rsidR="002F6526" w:rsidRPr="00AF2D4A" w:rsidRDefault="002F6526" w:rsidP="002F6526">
      <w:pPr>
        <w:pStyle w:val="a7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F2D4A">
        <w:rPr>
          <w:rFonts w:ascii="Times New Roman" w:hAnsi="Times New Roman"/>
          <w:sz w:val="28"/>
          <w:szCs w:val="28"/>
        </w:rPr>
        <w:t>Подготовка Минэнерго России проекта постановления Правительства Российской Федерации о модели розничного и оптового рынка электроэнергии, учитывающего позиции всех заинтересованных категорий участников рынка.</w:t>
      </w:r>
    </w:p>
    <w:p w:rsidR="002F6526" w:rsidRPr="00AF2D4A" w:rsidRDefault="002F6526" w:rsidP="002F6526">
      <w:pPr>
        <w:pStyle w:val="a7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2F6526" w:rsidRPr="00AF2D4A" w:rsidRDefault="002F6526" w:rsidP="002F6526">
      <w:pPr>
        <w:pStyle w:val="a7"/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AF2D4A">
        <w:rPr>
          <w:rFonts w:ascii="Times New Roman" w:hAnsi="Times New Roman"/>
          <w:b/>
          <w:sz w:val="28"/>
          <w:szCs w:val="28"/>
        </w:rPr>
        <w:t>Отчет о достижении целевого показателя:</w:t>
      </w:r>
    </w:p>
    <w:p w:rsidR="002F6526" w:rsidRPr="00AF2D4A" w:rsidRDefault="002F6526" w:rsidP="00A445E2">
      <w:pPr>
        <w:pStyle w:val="a7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F2D4A">
        <w:rPr>
          <w:rFonts w:ascii="Times New Roman" w:hAnsi="Times New Roman"/>
          <w:sz w:val="28"/>
          <w:szCs w:val="28"/>
        </w:rPr>
        <w:t xml:space="preserve">Принят ряд документов, подготовленных Минэнерго России: Постановление Правительства Российской Федерации от 27.08.2013 N 743 «О внесении изменений в некоторые акты Правительства Российской Федерации по вопросам проведения конкурентного отбора мощности на 2014 год», направленный на совершенствование процедуры конкурентного отбора </w:t>
      </w:r>
      <w:r w:rsidRPr="00AF2D4A">
        <w:rPr>
          <w:rFonts w:ascii="Times New Roman" w:hAnsi="Times New Roman"/>
          <w:sz w:val="28"/>
          <w:szCs w:val="28"/>
        </w:rPr>
        <w:lastRenderedPageBreak/>
        <w:t xml:space="preserve">мощности, и распоряжение Правительства Российской Федерации от 29.08.2013N 1534-р, определяющее состав вынужденной генерации на 2014 год в целях оптимизации стоимостной нагрузки. 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b/>
          <w:szCs w:val="28"/>
        </w:rPr>
        <w:t>Отчет о выполнении мероприятий по достижению целевых показателей:</w:t>
      </w:r>
    </w:p>
    <w:p w:rsidR="002F6526" w:rsidRPr="00AF2D4A" w:rsidRDefault="002F6526" w:rsidP="002F6526">
      <w:pPr>
        <w:pStyle w:val="a7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F2D4A">
        <w:rPr>
          <w:rFonts w:ascii="Times New Roman" w:hAnsi="Times New Roman"/>
          <w:sz w:val="28"/>
          <w:szCs w:val="28"/>
        </w:rPr>
        <w:t>Для выполнения поставленной задачи по учету</w:t>
      </w:r>
      <w:r w:rsidR="00A445E2">
        <w:rPr>
          <w:rFonts w:ascii="Times New Roman" w:hAnsi="Times New Roman"/>
          <w:sz w:val="28"/>
          <w:szCs w:val="28"/>
        </w:rPr>
        <w:t xml:space="preserve"> </w:t>
      </w:r>
      <w:r w:rsidRPr="00AF2D4A">
        <w:rPr>
          <w:rFonts w:ascii="Times New Roman" w:hAnsi="Times New Roman"/>
          <w:sz w:val="28"/>
          <w:szCs w:val="28"/>
        </w:rPr>
        <w:t>позиций всех заинтересованных категорий участников рынка</w:t>
      </w:r>
      <w:r w:rsidR="00A445E2">
        <w:rPr>
          <w:rFonts w:ascii="Times New Roman" w:hAnsi="Times New Roman"/>
          <w:sz w:val="28"/>
          <w:szCs w:val="28"/>
        </w:rPr>
        <w:t xml:space="preserve"> </w:t>
      </w:r>
      <w:r w:rsidRPr="00AF2D4A">
        <w:rPr>
          <w:rFonts w:ascii="Times New Roman" w:hAnsi="Times New Roman"/>
          <w:sz w:val="28"/>
          <w:szCs w:val="28"/>
        </w:rPr>
        <w:t>при Министерстве энергетики</w:t>
      </w:r>
      <w:r w:rsidR="00A445E2">
        <w:rPr>
          <w:rFonts w:ascii="Times New Roman" w:hAnsi="Times New Roman"/>
          <w:sz w:val="28"/>
          <w:szCs w:val="28"/>
        </w:rPr>
        <w:t xml:space="preserve"> была</w:t>
      </w:r>
      <w:r w:rsidRPr="00AF2D4A">
        <w:rPr>
          <w:rFonts w:ascii="Times New Roman" w:hAnsi="Times New Roman"/>
          <w:sz w:val="28"/>
          <w:szCs w:val="28"/>
        </w:rPr>
        <w:t xml:space="preserve"> создана рабочая группа, в которую вошли эксперты рынка и представители научных кругов. </w:t>
      </w:r>
    </w:p>
    <w:p w:rsidR="002F6526" w:rsidRPr="00AF2D4A" w:rsidRDefault="002F6526" w:rsidP="002F6526">
      <w:pPr>
        <w:spacing w:line="360" w:lineRule="auto"/>
        <w:ind w:firstLine="708"/>
        <w:jc w:val="both"/>
      </w:pPr>
      <w:r w:rsidRPr="00AF2D4A">
        <w:rPr>
          <w:szCs w:val="28"/>
        </w:rPr>
        <w:t>В 2013 году в рамках рабочей группы по новой модели рынка были сформулированы следующие подходы к дальнейшему развитию рынков электроэнергии в России:</w:t>
      </w:r>
    </w:p>
    <w:p w:rsidR="002F6526" w:rsidRPr="00AF2D4A" w:rsidRDefault="002F6526" w:rsidP="002F6526">
      <w:pPr>
        <w:pStyle w:val="a7"/>
        <w:numPr>
          <w:ilvl w:val="0"/>
          <w:numId w:val="6"/>
        </w:numPr>
        <w:suppressAutoHyphens/>
        <w:spacing w:line="360" w:lineRule="auto"/>
        <w:jc w:val="both"/>
        <w:rPr>
          <w:rFonts w:ascii="Times New Roman" w:hAnsi="Times New Roman"/>
        </w:rPr>
      </w:pPr>
      <w:r w:rsidRPr="00AF2D4A">
        <w:rPr>
          <w:rFonts w:ascii="Times New Roman" w:hAnsi="Times New Roman"/>
          <w:sz w:val="28"/>
          <w:szCs w:val="28"/>
        </w:rPr>
        <w:t>переход к системе двусторонней торговли меж</w:t>
      </w:r>
      <w:r w:rsidR="00A445E2">
        <w:rPr>
          <w:rFonts w:ascii="Times New Roman" w:hAnsi="Times New Roman"/>
          <w:sz w:val="28"/>
          <w:szCs w:val="28"/>
        </w:rPr>
        <w:t>ду участниками оптового рынка. При</w:t>
      </w:r>
      <w:r w:rsidRPr="00AF2D4A">
        <w:rPr>
          <w:rFonts w:ascii="Times New Roman" w:hAnsi="Times New Roman"/>
          <w:sz w:val="28"/>
          <w:szCs w:val="28"/>
        </w:rPr>
        <w:t xml:space="preserve"> таком подходе стимулирование инвестиционного финансирования проектов генерации происходит в рамках заключения двусторонних договоров;</w:t>
      </w:r>
    </w:p>
    <w:p w:rsidR="002F6526" w:rsidRPr="00AF2D4A" w:rsidRDefault="002F6526" w:rsidP="002F6526">
      <w:pPr>
        <w:pStyle w:val="a7"/>
        <w:numPr>
          <w:ilvl w:val="0"/>
          <w:numId w:val="6"/>
        </w:numPr>
        <w:suppressAutoHyphens/>
        <w:spacing w:line="360" w:lineRule="auto"/>
        <w:jc w:val="both"/>
        <w:rPr>
          <w:rFonts w:ascii="Times New Roman" w:hAnsi="Times New Roman"/>
        </w:rPr>
      </w:pPr>
      <w:r w:rsidRPr="00AF2D4A">
        <w:rPr>
          <w:rFonts w:ascii="Times New Roman" w:hAnsi="Times New Roman"/>
          <w:sz w:val="28"/>
          <w:szCs w:val="28"/>
        </w:rPr>
        <w:t>введение новой программы договоров о предоставлении мощности как инструмента регуляторного стимулирования проектов нового строительства и модернизации генерирующего оборудовании;</w:t>
      </w:r>
    </w:p>
    <w:p w:rsidR="002F6526" w:rsidRPr="00AF2D4A" w:rsidRDefault="002F6526" w:rsidP="002F6526">
      <w:pPr>
        <w:pStyle w:val="a7"/>
        <w:numPr>
          <w:ilvl w:val="0"/>
          <w:numId w:val="6"/>
        </w:numPr>
        <w:suppressAutoHyphens/>
        <w:spacing w:line="360" w:lineRule="auto"/>
        <w:jc w:val="both"/>
        <w:rPr>
          <w:rFonts w:ascii="Times New Roman" w:hAnsi="Times New Roman"/>
        </w:rPr>
      </w:pPr>
      <w:r w:rsidRPr="00AF2D4A">
        <w:rPr>
          <w:rFonts w:ascii="Times New Roman" w:hAnsi="Times New Roman"/>
          <w:sz w:val="28"/>
          <w:szCs w:val="28"/>
        </w:rPr>
        <w:t>доработка текущей модели рынка, а именно, реализация долгосрочного конкурентного отбора мощности на 4 года вперед.</w:t>
      </w:r>
    </w:p>
    <w:p w:rsidR="002F6526" w:rsidRPr="00AF2D4A" w:rsidRDefault="002F6526" w:rsidP="002F6526">
      <w:pPr>
        <w:spacing w:line="360" w:lineRule="auto"/>
        <w:ind w:firstLine="708"/>
        <w:jc w:val="both"/>
      </w:pPr>
      <w:r w:rsidRPr="00AF2D4A">
        <w:rPr>
          <w:szCs w:val="28"/>
        </w:rPr>
        <w:t>По каждому из подходов проведены оценочные расчеты ценовых последствий для потребителей. Соответствующие результаты представлены в установленном порядке в Правительство Российской Федерации.</w:t>
      </w:r>
    </w:p>
    <w:p w:rsidR="002F6526" w:rsidRPr="00AF2D4A" w:rsidRDefault="002F6526" w:rsidP="002F6526">
      <w:pPr>
        <w:spacing w:line="360" w:lineRule="auto"/>
        <w:ind w:firstLine="708"/>
        <w:jc w:val="both"/>
      </w:pPr>
      <w:r w:rsidRPr="00AF2D4A">
        <w:rPr>
          <w:szCs w:val="28"/>
        </w:rPr>
        <w:t>Анализ процедуры конкурентного отбора мощности показал, что основные недостатки действующей модели обусловлены наличием перекрестного субсидирования между электрической и тепловой энергией.</w:t>
      </w:r>
    </w:p>
    <w:p w:rsidR="002F6526" w:rsidRDefault="002F6526" w:rsidP="002F6526">
      <w:pPr>
        <w:spacing w:line="360" w:lineRule="auto"/>
        <w:ind w:firstLine="708"/>
        <w:jc w:val="both"/>
        <w:rPr>
          <w:szCs w:val="28"/>
        </w:rPr>
      </w:pPr>
      <w:r w:rsidRPr="00AF2D4A">
        <w:rPr>
          <w:szCs w:val="28"/>
        </w:rPr>
        <w:lastRenderedPageBreak/>
        <w:t xml:space="preserve">В этой связи, с учетом особенностей функционирования тепловой генерации и, как следствие, наличия связи между рынками электрической энергии (мощности) и тепловой энергии, окончательные решения по выбору модели рынка электрической энергии и мощности будут приняты после принятия </w:t>
      </w:r>
      <w:r w:rsidR="00A445E2">
        <w:rPr>
          <w:szCs w:val="28"/>
        </w:rPr>
        <w:t xml:space="preserve">модели </w:t>
      </w:r>
      <w:r w:rsidRPr="00AF2D4A">
        <w:rPr>
          <w:szCs w:val="28"/>
        </w:rPr>
        <w:t>рынка тепловой энергии.</w:t>
      </w:r>
    </w:p>
    <w:p w:rsidR="00A445E2" w:rsidRDefault="00A445E2" w:rsidP="00A445E2">
      <w:pPr>
        <w:pStyle w:val="a7"/>
        <w:suppressAutoHyphens/>
        <w:spacing w:after="0" w:line="36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F6526" w:rsidRPr="00AF2D4A" w:rsidRDefault="00A445E2" w:rsidP="00A445E2">
      <w:pPr>
        <w:pStyle w:val="a7"/>
        <w:suppressAutoHyphens/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2F6526" w:rsidRPr="00AF2D4A">
        <w:rPr>
          <w:rFonts w:ascii="Times New Roman" w:hAnsi="Times New Roman"/>
          <w:b/>
          <w:bCs/>
          <w:sz w:val="28"/>
          <w:szCs w:val="28"/>
        </w:rPr>
        <w:t>Разработка модели рынка тепловой энергии</w:t>
      </w:r>
    </w:p>
    <w:p w:rsidR="002F6526" w:rsidRPr="00AF2D4A" w:rsidRDefault="002F6526" w:rsidP="002F6526">
      <w:pPr>
        <w:pStyle w:val="a7"/>
        <w:spacing w:line="360" w:lineRule="auto"/>
        <w:ind w:left="708"/>
        <w:jc w:val="both"/>
        <w:rPr>
          <w:rFonts w:ascii="Times New Roman" w:hAnsi="Times New Roman"/>
        </w:rPr>
      </w:pPr>
      <w:r w:rsidRPr="00AF2D4A">
        <w:rPr>
          <w:rFonts w:ascii="Times New Roman" w:hAnsi="Times New Roman"/>
          <w:b/>
          <w:sz w:val="28"/>
          <w:szCs w:val="28"/>
        </w:rPr>
        <w:t xml:space="preserve">Описание задачи: </w:t>
      </w:r>
    </w:p>
    <w:p w:rsidR="002F6526" w:rsidRDefault="002F6526" w:rsidP="00A445E2">
      <w:pPr>
        <w:spacing w:line="360" w:lineRule="auto"/>
        <w:ind w:firstLine="708"/>
        <w:jc w:val="both"/>
        <w:rPr>
          <w:szCs w:val="28"/>
        </w:rPr>
      </w:pPr>
      <w:r w:rsidRPr="00AF2D4A">
        <w:rPr>
          <w:szCs w:val="28"/>
        </w:rPr>
        <w:t>Создание новой модели рынка тепловой энергии, которая позволит обеспечить доходность инвестиций и рыночные условия функционирования отрасли.</w:t>
      </w:r>
    </w:p>
    <w:p w:rsidR="00A445E2" w:rsidRPr="00A445E2" w:rsidRDefault="00A445E2" w:rsidP="00A445E2">
      <w:pPr>
        <w:spacing w:line="360" w:lineRule="auto"/>
        <w:ind w:firstLine="708"/>
        <w:jc w:val="both"/>
        <w:rPr>
          <w:szCs w:val="28"/>
        </w:rPr>
      </w:pPr>
    </w:p>
    <w:p w:rsidR="002F6526" w:rsidRPr="00AF2D4A" w:rsidRDefault="002F6526" w:rsidP="002F6526">
      <w:pPr>
        <w:pStyle w:val="a7"/>
        <w:spacing w:line="360" w:lineRule="auto"/>
        <w:ind w:left="708"/>
        <w:jc w:val="both"/>
        <w:rPr>
          <w:rFonts w:ascii="Times New Roman" w:hAnsi="Times New Roman"/>
        </w:rPr>
      </w:pPr>
      <w:r w:rsidRPr="00AF2D4A">
        <w:rPr>
          <w:rFonts w:ascii="Times New Roman" w:hAnsi="Times New Roman"/>
          <w:b/>
          <w:sz w:val="28"/>
          <w:szCs w:val="28"/>
        </w:rPr>
        <w:t>Ожидаемый стратегический эффект:</w:t>
      </w:r>
    </w:p>
    <w:p w:rsidR="002F6526" w:rsidRPr="00AF2D4A" w:rsidRDefault="002F6526" w:rsidP="002F6526">
      <w:pPr>
        <w:spacing w:line="360" w:lineRule="auto"/>
        <w:ind w:firstLine="708"/>
        <w:jc w:val="both"/>
      </w:pPr>
      <w:r w:rsidRPr="00AF2D4A">
        <w:rPr>
          <w:szCs w:val="28"/>
        </w:rPr>
        <w:t xml:space="preserve">Повышение инвестиционной привлекательности рынка тепловой энергии, создание понятной системы распределения ответственности и полномочий между участниками рынка. </w:t>
      </w:r>
    </w:p>
    <w:p w:rsidR="002F6526" w:rsidRPr="00AF2D4A" w:rsidRDefault="002F6526" w:rsidP="002F6526">
      <w:pPr>
        <w:pStyle w:val="a7"/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2F6526" w:rsidRPr="00AF2D4A" w:rsidRDefault="002F6526" w:rsidP="002F6526">
      <w:pPr>
        <w:pStyle w:val="a7"/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AF2D4A">
        <w:rPr>
          <w:rFonts w:ascii="Times New Roman" w:hAnsi="Times New Roman"/>
          <w:b/>
          <w:sz w:val="28"/>
          <w:szCs w:val="28"/>
        </w:rPr>
        <w:t>Целевой показатель на 2013 год:</w:t>
      </w:r>
    </w:p>
    <w:p w:rsidR="002F6526" w:rsidRPr="00AF2D4A" w:rsidRDefault="002F6526" w:rsidP="002F6526">
      <w:pPr>
        <w:spacing w:line="360" w:lineRule="auto"/>
        <w:ind w:firstLine="708"/>
        <w:jc w:val="both"/>
        <w:rPr>
          <w:szCs w:val="28"/>
        </w:rPr>
      </w:pPr>
      <w:r w:rsidRPr="00AF2D4A">
        <w:rPr>
          <w:szCs w:val="28"/>
        </w:rPr>
        <w:t>Согласование концепции новой модели рынка теплоснабжения с заинтересованными федеральными органами исполнительной власти, разработка отдельной подпрограммы «Теплоснабже</w:t>
      </w:r>
      <w:r w:rsidR="00A445E2">
        <w:rPr>
          <w:szCs w:val="28"/>
        </w:rPr>
        <w:t>ние» в Государственной программе</w:t>
      </w:r>
      <w:r w:rsidRPr="00AF2D4A">
        <w:rPr>
          <w:szCs w:val="28"/>
        </w:rPr>
        <w:t xml:space="preserve"> «Энергоэффективность и развитие энергетики» – </w:t>
      </w:r>
      <w:r w:rsidR="00A445E2">
        <w:rPr>
          <w:szCs w:val="28"/>
        </w:rPr>
        <w:t>в срок до апреля</w:t>
      </w:r>
      <w:r w:rsidRPr="00AF2D4A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AF2D4A">
          <w:rPr>
            <w:szCs w:val="28"/>
          </w:rPr>
          <w:t>2014 г</w:t>
        </w:r>
      </w:smartTag>
      <w:r w:rsidRPr="00AF2D4A">
        <w:rPr>
          <w:szCs w:val="28"/>
        </w:rPr>
        <w:t>.</w:t>
      </w:r>
    </w:p>
    <w:p w:rsidR="002F6526" w:rsidRPr="00AF2D4A" w:rsidRDefault="002F6526" w:rsidP="002F6526">
      <w:pPr>
        <w:pStyle w:val="a7"/>
        <w:spacing w:line="360" w:lineRule="auto"/>
        <w:ind w:left="0"/>
        <w:rPr>
          <w:rFonts w:ascii="Times New Roman" w:hAnsi="Times New Roman"/>
        </w:rPr>
      </w:pPr>
    </w:p>
    <w:p w:rsidR="002F6526" w:rsidRPr="00AF2D4A" w:rsidRDefault="002F6526" w:rsidP="002F6526">
      <w:pPr>
        <w:pStyle w:val="a7"/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AF2D4A">
        <w:rPr>
          <w:rFonts w:ascii="Times New Roman" w:hAnsi="Times New Roman"/>
          <w:b/>
          <w:sz w:val="28"/>
          <w:szCs w:val="28"/>
        </w:rPr>
        <w:t>Отчет о достижении целевого показателя:</w:t>
      </w:r>
    </w:p>
    <w:p w:rsidR="002F6526" w:rsidRPr="00AF2D4A" w:rsidRDefault="002F6526" w:rsidP="002F6526">
      <w:pPr>
        <w:spacing w:line="360" w:lineRule="auto"/>
        <w:ind w:firstLine="708"/>
        <w:jc w:val="both"/>
      </w:pPr>
      <w:r w:rsidRPr="00AF2D4A">
        <w:rPr>
          <w:szCs w:val="28"/>
        </w:rPr>
        <w:t xml:space="preserve">Минэнерго России подготовлены и внесены в Государственную Думу Российской Федерации поправки к принятому в первом чтении законопроекту № 182358-6 «О внесении изменений в Федеральный закон «О </w:t>
      </w:r>
      <w:r w:rsidRPr="00AF2D4A">
        <w:rPr>
          <w:szCs w:val="28"/>
        </w:rPr>
        <w:lastRenderedPageBreak/>
        <w:t>теплоснабжении»», предусматривающие возможность определения единой теплоснабжающей организации до утверждения схемы теплоснабжения.</w:t>
      </w:r>
    </w:p>
    <w:p w:rsidR="002F6526" w:rsidRPr="00AF2D4A" w:rsidRDefault="002F6526" w:rsidP="002F6526">
      <w:pPr>
        <w:tabs>
          <w:tab w:val="left" w:pos="720"/>
        </w:tabs>
        <w:spacing w:line="360" w:lineRule="auto"/>
        <w:jc w:val="both"/>
        <w:rPr>
          <w:b/>
          <w:szCs w:val="28"/>
        </w:rPr>
      </w:pPr>
      <w:r w:rsidRPr="00AF2D4A">
        <w:rPr>
          <w:b/>
          <w:szCs w:val="28"/>
        </w:rPr>
        <w:tab/>
      </w:r>
    </w:p>
    <w:p w:rsidR="002F6526" w:rsidRPr="00AF2D4A" w:rsidRDefault="002F6526" w:rsidP="002F6526">
      <w:pPr>
        <w:tabs>
          <w:tab w:val="left" w:pos="720"/>
        </w:tabs>
        <w:spacing w:line="360" w:lineRule="auto"/>
        <w:jc w:val="both"/>
      </w:pPr>
      <w:r w:rsidRPr="00AF2D4A">
        <w:rPr>
          <w:b/>
          <w:szCs w:val="28"/>
        </w:rPr>
        <w:tab/>
        <w:t>Отчет о выполнении мероприятий по достижению целевых показателей:</w:t>
      </w:r>
    </w:p>
    <w:p w:rsidR="002F6526" w:rsidRPr="00AF2D4A" w:rsidRDefault="002F6526" w:rsidP="002F6526">
      <w:pPr>
        <w:spacing w:line="360" w:lineRule="auto"/>
        <w:ind w:firstLine="708"/>
        <w:jc w:val="both"/>
      </w:pPr>
      <w:r w:rsidRPr="00AF2D4A">
        <w:rPr>
          <w:szCs w:val="28"/>
        </w:rPr>
        <w:t xml:space="preserve">Для обеспечения заявленной цели Минэнерго России разработало систему долгосрочного тарифа, рассчитанного от «альтернативной котельной» и </w:t>
      </w:r>
      <w:r w:rsidR="00A445E2">
        <w:rPr>
          <w:szCs w:val="28"/>
        </w:rPr>
        <w:t>с учетом введения</w:t>
      </w:r>
      <w:r w:rsidRPr="00AF2D4A">
        <w:rPr>
          <w:szCs w:val="28"/>
        </w:rPr>
        <w:t xml:space="preserve"> единой теплоснабжающей организации (ЕТО).</w:t>
      </w:r>
    </w:p>
    <w:p w:rsidR="002F6526" w:rsidRPr="00AF2D4A" w:rsidRDefault="002F6526" w:rsidP="002F6526">
      <w:pPr>
        <w:spacing w:line="360" w:lineRule="auto"/>
        <w:ind w:firstLine="709"/>
        <w:jc w:val="both"/>
      </w:pPr>
      <w:r w:rsidRPr="00AF2D4A">
        <w:rPr>
          <w:szCs w:val="28"/>
        </w:rPr>
        <w:t>Тариф альтернативной котельной – наименьшая цена на тепловую энергию у потребителя, при которой окупается проект строительства новой котельной, замещающей теплоснабжение от централизованных источников.</w:t>
      </w:r>
    </w:p>
    <w:p w:rsidR="002F6526" w:rsidRPr="00AF2D4A" w:rsidRDefault="002F6526" w:rsidP="002F6526">
      <w:pPr>
        <w:spacing w:line="360" w:lineRule="auto"/>
        <w:ind w:firstLine="709"/>
        <w:jc w:val="both"/>
      </w:pPr>
      <w:r w:rsidRPr="00AF2D4A">
        <w:rPr>
          <w:szCs w:val="28"/>
        </w:rPr>
        <w:t xml:space="preserve">Для внедрения указанного механизма запланирована поэтапная полная либерализация поставки тепловой энергии потребителям с условием ограничения стоимости тепловой энергии для потребителей ЕТО не выше тарифа «альтернативной котельной». </w:t>
      </w:r>
      <w:r w:rsidR="00CB7354">
        <w:rPr>
          <w:szCs w:val="28"/>
        </w:rPr>
        <w:t>При этом р</w:t>
      </w:r>
      <w:r w:rsidRPr="00AF2D4A">
        <w:rPr>
          <w:szCs w:val="28"/>
        </w:rPr>
        <w:t xml:space="preserve">ост тарифов для населения </w:t>
      </w:r>
      <w:r w:rsidR="00CB7354">
        <w:rPr>
          <w:szCs w:val="28"/>
        </w:rPr>
        <w:t>не превысит параметры, утвержденные Правительством Российской Федерации</w:t>
      </w:r>
      <w:r w:rsidRPr="00AF2D4A">
        <w:rPr>
          <w:szCs w:val="28"/>
        </w:rPr>
        <w:t>. Снижение негативного тарифного эффекта для потребителей будет достигнуто за счет параллельного проведения мероприятий по энергоэффективности, что позволит ограничить необходимость в росте тарифов.</w:t>
      </w:r>
    </w:p>
    <w:p w:rsidR="002F6526" w:rsidRPr="00AF2D4A" w:rsidRDefault="002F6526" w:rsidP="002F6526">
      <w:pPr>
        <w:spacing w:line="360" w:lineRule="auto"/>
        <w:ind w:firstLine="708"/>
        <w:jc w:val="both"/>
      </w:pPr>
      <w:r w:rsidRPr="00AF2D4A">
        <w:rPr>
          <w:szCs w:val="28"/>
        </w:rPr>
        <w:t>Ввиду стратегической важности вопроса для всех заинтересованных сторон (потребителей, государства, инвесторов, энергокомпаний), Минэнерго России еженедельно проводит совещания с участием представителей субъектов электроэнергетики, крупнейших те</w:t>
      </w:r>
      <w:r w:rsidR="00A445E2">
        <w:rPr>
          <w:szCs w:val="28"/>
        </w:rPr>
        <w:t>плоснабжающих организаций и</w:t>
      </w:r>
      <w:r w:rsidRPr="00AF2D4A">
        <w:rPr>
          <w:szCs w:val="28"/>
        </w:rPr>
        <w:t xml:space="preserve"> экспертных организаций.</w:t>
      </w:r>
    </w:p>
    <w:p w:rsidR="002F6526" w:rsidRPr="00AF2D4A" w:rsidRDefault="002F6526" w:rsidP="002F6526">
      <w:pPr>
        <w:spacing w:line="360" w:lineRule="auto"/>
        <w:ind w:firstLine="709"/>
        <w:jc w:val="both"/>
      </w:pPr>
      <w:r w:rsidRPr="00AF2D4A">
        <w:t>Программа перехода на новую модель рынка тепловой энергии разделена на четыре этапа и запланирована на период до 2017 года.</w:t>
      </w:r>
    </w:p>
    <w:p w:rsidR="002F6526" w:rsidRPr="00AF2D4A" w:rsidRDefault="002F6526" w:rsidP="002F6526">
      <w:pPr>
        <w:spacing w:line="360" w:lineRule="auto"/>
        <w:ind w:firstLine="709"/>
        <w:jc w:val="both"/>
      </w:pPr>
    </w:p>
    <w:p w:rsidR="002F6526" w:rsidRPr="00AF2D4A" w:rsidRDefault="002F6526" w:rsidP="002F6526">
      <w:pPr>
        <w:pStyle w:val="a7"/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/>
        </w:rPr>
      </w:pPr>
      <w:r w:rsidRPr="00AF2D4A">
        <w:rPr>
          <w:rFonts w:ascii="Times New Roman" w:hAnsi="Times New Roman"/>
          <w:b/>
          <w:sz w:val="28"/>
          <w:szCs w:val="28"/>
        </w:rPr>
        <w:lastRenderedPageBreak/>
        <w:t>Подготовка и реализация программы энергообеспечения Сочинского энергорайона</w:t>
      </w:r>
    </w:p>
    <w:p w:rsidR="002F6526" w:rsidRPr="00AF2D4A" w:rsidRDefault="002F6526" w:rsidP="002F6526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6526" w:rsidRPr="00A445E2" w:rsidRDefault="002F6526" w:rsidP="002F6526">
      <w:pPr>
        <w:pStyle w:val="a7"/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AF2D4A">
        <w:rPr>
          <w:rFonts w:ascii="Times New Roman" w:hAnsi="Times New Roman"/>
          <w:b/>
          <w:sz w:val="28"/>
          <w:szCs w:val="28"/>
        </w:rPr>
        <w:t xml:space="preserve">Описание задачи: </w:t>
      </w:r>
    </w:p>
    <w:p w:rsidR="002F6526" w:rsidRPr="00AF2D4A" w:rsidRDefault="002F6526" w:rsidP="002F6526">
      <w:pPr>
        <w:pStyle w:val="a7"/>
        <w:spacing w:line="360" w:lineRule="auto"/>
        <w:ind w:left="0" w:firstLine="708"/>
        <w:jc w:val="both"/>
        <w:rPr>
          <w:rFonts w:ascii="Times New Roman" w:hAnsi="Times New Roman"/>
        </w:rPr>
      </w:pPr>
      <w:r w:rsidRPr="00AF2D4A">
        <w:rPr>
          <w:rFonts w:ascii="Times New Roman" w:hAnsi="Times New Roman"/>
          <w:sz w:val="28"/>
          <w:szCs w:val="28"/>
        </w:rPr>
        <w:t>Обеспечение на</w:t>
      </w:r>
      <w:r w:rsidR="00A445E2">
        <w:rPr>
          <w:rFonts w:ascii="Times New Roman" w:hAnsi="Times New Roman"/>
          <w:sz w:val="28"/>
          <w:szCs w:val="28"/>
        </w:rPr>
        <w:t>дежного и бесперебойного энерго</w:t>
      </w:r>
      <w:r w:rsidRPr="00AF2D4A">
        <w:rPr>
          <w:rFonts w:ascii="Times New Roman" w:hAnsi="Times New Roman"/>
          <w:sz w:val="28"/>
          <w:szCs w:val="28"/>
        </w:rPr>
        <w:t>снабжения Сочинского энергорайона в периода проведения ХХII Олимпийских и ХI Паралимпийских зимних игр 2014 года и по прошествии спортивных событий.</w:t>
      </w:r>
    </w:p>
    <w:p w:rsidR="002F6526" w:rsidRPr="00AF2D4A" w:rsidRDefault="002F6526" w:rsidP="002F6526">
      <w:pPr>
        <w:pStyle w:val="a7"/>
        <w:spacing w:line="360" w:lineRule="auto"/>
        <w:ind w:left="708"/>
        <w:jc w:val="both"/>
        <w:rPr>
          <w:rFonts w:ascii="Times New Roman" w:hAnsi="Times New Roman"/>
        </w:rPr>
      </w:pPr>
    </w:p>
    <w:p w:rsidR="002F6526" w:rsidRPr="00AF2D4A" w:rsidRDefault="002F6526" w:rsidP="002F6526">
      <w:pPr>
        <w:pStyle w:val="a7"/>
        <w:spacing w:line="360" w:lineRule="auto"/>
        <w:ind w:left="708"/>
        <w:jc w:val="both"/>
        <w:rPr>
          <w:rFonts w:ascii="Times New Roman" w:hAnsi="Times New Roman"/>
        </w:rPr>
      </w:pPr>
      <w:r w:rsidRPr="00AF2D4A">
        <w:rPr>
          <w:rFonts w:ascii="Times New Roman" w:hAnsi="Times New Roman"/>
          <w:b/>
          <w:sz w:val="28"/>
          <w:szCs w:val="28"/>
        </w:rPr>
        <w:t>Ожидаемый стратегический эффект:</w:t>
      </w:r>
    </w:p>
    <w:p w:rsidR="002F6526" w:rsidRPr="00AF2D4A" w:rsidRDefault="002F6526" w:rsidP="002F6526">
      <w:pPr>
        <w:pStyle w:val="a7"/>
        <w:spacing w:line="360" w:lineRule="auto"/>
        <w:ind w:left="0" w:firstLine="708"/>
        <w:jc w:val="both"/>
        <w:rPr>
          <w:rFonts w:ascii="Times New Roman" w:hAnsi="Times New Roman"/>
        </w:rPr>
      </w:pPr>
      <w:r w:rsidRPr="00AF2D4A">
        <w:rPr>
          <w:rFonts w:ascii="Times New Roman" w:hAnsi="Times New Roman"/>
          <w:sz w:val="28"/>
          <w:szCs w:val="28"/>
        </w:rPr>
        <w:t>Создание современной генерирующий и электросетевой инфраструктуры, обеспечение уровня мощности, необходимого для социально-экономического развития региона.</w:t>
      </w:r>
      <w:r w:rsidR="00406C9D">
        <w:rPr>
          <w:rFonts w:ascii="Times New Roman" w:hAnsi="Times New Roman"/>
          <w:sz w:val="28"/>
          <w:szCs w:val="28"/>
        </w:rPr>
        <w:t xml:space="preserve"> </w:t>
      </w:r>
    </w:p>
    <w:p w:rsidR="002F6526" w:rsidRPr="00AF2D4A" w:rsidRDefault="002F6526" w:rsidP="002F6526">
      <w:pPr>
        <w:pStyle w:val="a7"/>
        <w:spacing w:line="360" w:lineRule="auto"/>
        <w:ind w:left="708"/>
        <w:jc w:val="both"/>
        <w:rPr>
          <w:rFonts w:ascii="Times New Roman" w:hAnsi="Times New Roman"/>
        </w:rPr>
      </w:pPr>
    </w:p>
    <w:p w:rsidR="002F6526" w:rsidRPr="00AF2D4A" w:rsidRDefault="002F6526" w:rsidP="002F6526">
      <w:pPr>
        <w:pStyle w:val="a7"/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AF2D4A">
        <w:rPr>
          <w:rFonts w:ascii="Times New Roman" w:hAnsi="Times New Roman"/>
          <w:b/>
          <w:sz w:val="28"/>
          <w:szCs w:val="28"/>
        </w:rPr>
        <w:t>Целевые показатели на 2013 год:</w:t>
      </w:r>
    </w:p>
    <w:p w:rsidR="002F6526" w:rsidRPr="00AF2D4A" w:rsidRDefault="002F6526" w:rsidP="002F6526">
      <w:pPr>
        <w:spacing w:line="360" w:lineRule="auto"/>
        <w:ind w:firstLine="708"/>
        <w:jc w:val="both"/>
        <w:rPr>
          <w:szCs w:val="28"/>
        </w:rPr>
      </w:pPr>
      <w:r w:rsidRPr="00AF2D4A">
        <w:rPr>
          <w:szCs w:val="28"/>
        </w:rPr>
        <w:t>1)</w:t>
      </w:r>
      <w:r w:rsidR="00A445E2">
        <w:rPr>
          <w:szCs w:val="28"/>
        </w:rPr>
        <w:t xml:space="preserve"> </w:t>
      </w:r>
      <w:r w:rsidRPr="00AF2D4A">
        <w:rPr>
          <w:szCs w:val="28"/>
        </w:rPr>
        <w:t>Обеспечение плановых показателей по введению генерирующих мощностей, электросетевой инфраструктуры, мероприятий по подготовке персонала энергооборудования.</w:t>
      </w:r>
    </w:p>
    <w:p w:rsidR="002F6526" w:rsidRPr="00AF2D4A" w:rsidRDefault="002F6526" w:rsidP="002F6526">
      <w:pPr>
        <w:spacing w:line="360" w:lineRule="auto"/>
        <w:ind w:firstLine="708"/>
        <w:jc w:val="both"/>
      </w:pPr>
      <w:r w:rsidRPr="00AF2D4A">
        <w:rPr>
          <w:szCs w:val="28"/>
        </w:rPr>
        <w:t>2) Обеспечение непрерывного процесса тренировок персонала и проверок оборудования при нештатных ситуациях в сфере энергоснабжения.</w:t>
      </w:r>
    </w:p>
    <w:p w:rsidR="00CC1D61" w:rsidRDefault="00CC1D61" w:rsidP="002F6526">
      <w:pPr>
        <w:pStyle w:val="a7"/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2F6526" w:rsidRPr="00AF2D4A" w:rsidRDefault="002F6526" w:rsidP="002F6526">
      <w:pPr>
        <w:pStyle w:val="a7"/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AF2D4A">
        <w:rPr>
          <w:rFonts w:ascii="Times New Roman" w:hAnsi="Times New Roman"/>
          <w:b/>
          <w:sz w:val="28"/>
          <w:szCs w:val="28"/>
        </w:rPr>
        <w:t>Отчет о достижении целевого показателя:</w:t>
      </w:r>
    </w:p>
    <w:p w:rsidR="002F6526" w:rsidRPr="00AF2D4A" w:rsidRDefault="002F6526" w:rsidP="002F6526">
      <w:pPr>
        <w:spacing w:line="360" w:lineRule="auto"/>
        <w:ind w:firstLine="708"/>
        <w:jc w:val="both"/>
        <w:rPr>
          <w:szCs w:val="28"/>
        </w:rPr>
      </w:pPr>
      <w:r w:rsidRPr="00AF2D4A">
        <w:rPr>
          <w:szCs w:val="28"/>
        </w:rPr>
        <w:t>1)</w:t>
      </w:r>
      <w:r w:rsidR="00A445E2">
        <w:rPr>
          <w:szCs w:val="28"/>
        </w:rPr>
        <w:t xml:space="preserve"> </w:t>
      </w:r>
      <w:r w:rsidRPr="00AF2D4A">
        <w:rPr>
          <w:szCs w:val="28"/>
        </w:rPr>
        <w:t>В 2013 году в эксплуатацию введено 12 объектов Олимпийской программы (всего введен 31 объект, в том числе 3 электростанции). Планируется ввод в эксплуатацию еще 15 объектов.</w:t>
      </w:r>
      <w:r w:rsidR="00406C9D">
        <w:rPr>
          <w:szCs w:val="28"/>
        </w:rPr>
        <w:t xml:space="preserve"> </w:t>
      </w:r>
      <w:r w:rsidRPr="00AF2D4A">
        <w:rPr>
          <w:szCs w:val="28"/>
        </w:rPr>
        <w:t>Кроме строительства и реконструкции основных объектов энергетики ведутся работы по модернизации распределительной городской электросети и созданию временных сетей электроснабжения олимпийских объектов.</w:t>
      </w:r>
    </w:p>
    <w:p w:rsidR="002F6526" w:rsidRDefault="002F6526" w:rsidP="002F6526">
      <w:pPr>
        <w:spacing w:line="360" w:lineRule="auto"/>
        <w:ind w:firstLine="708"/>
        <w:jc w:val="both"/>
        <w:rPr>
          <w:szCs w:val="28"/>
        </w:rPr>
      </w:pPr>
      <w:r w:rsidRPr="00AF2D4A">
        <w:rPr>
          <w:szCs w:val="28"/>
        </w:rPr>
        <w:lastRenderedPageBreak/>
        <w:t>2) По состоянию на сентябрь проведены проверки состояния энергопринимающих установок 11 олимпийских объектов. Сформированы аварийно-восстановительные бригады и организовано их круглосуточное дежурство,</w:t>
      </w:r>
      <w:r w:rsidR="00406C9D">
        <w:rPr>
          <w:szCs w:val="28"/>
        </w:rPr>
        <w:t xml:space="preserve"> </w:t>
      </w:r>
      <w:r w:rsidRPr="00AF2D4A">
        <w:rPr>
          <w:szCs w:val="28"/>
        </w:rPr>
        <w:t>проводится ежедневный мониторинг трасс кабельных линий. Со стороны Минэнерго России оказывается содействие руководству энергокомпаний в организации подготовки персонала к работе в олимпийский период.</w:t>
      </w:r>
    </w:p>
    <w:p w:rsidR="003C7FE4" w:rsidRPr="00AF2D4A" w:rsidRDefault="003C7FE4" w:rsidP="002F6526">
      <w:pPr>
        <w:spacing w:line="360" w:lineRule="auto"/>
        <w:ind w:firstLine="708"/>
        <w:jc w:val="both"/>
      </w:pP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b/>
          <w:szCs w:val="28"/>
        </w:rPr>
        <w:t>Отчет о выполнении мероприятий по достижению целевых показателей:</w:t>
      </w:r>
    </w:p>
    <w:p w:rsidR="002F6526" w:rsidRPr="00AF2D4A" w:rsidRDefault="002F6526" w:rsidP="002F6526">
      <w:pPr>
        <w:pStyle w:val="aa"/>
        <w:spacing w:after="0" w:line="360" w:lineRule="auto"/>
        <w:ind w:firstLine="708"/>
        <w:jc w:val="both"/>
      </w:pPr>
      <w:r w:rsidRPr="00AF2D4A">
        <w:rPr>
          <w:sz w:val="28"/>
          <w:szCs w:val="28"/>
        </w:rPr>
        <w:t xml:space="preserve">1) Минэнерго России принимало участие в разработке Программы строительства олимпийских объектов и развития г. Сочи как горноклиматического курорта </w:t>
      </w:r>
      <w:r w:rsidRPr="00AF2D4A">
        <w:rPr>
          <w:i/>
        </w:rPr>
        <w:t>(утверждена постановлением Правительства Российской Федерации от 29.12.2007 № 991).</w:t>
      </w:r>
    </w:p>
    <w:p w:rsidR="002F6526" w:rsidRPr="00AF2D4A" w:rsidRDefault="002F6526" w:rsidP="002F6526">
      <w:pPr>
        <w:pStyle w:val="aa"/>
        <w:spacing w:after="0" w:line="360" w:lineRule="auto"/>
        <w:ind w:firstLine="708"/>
        <w:jc w:val="both"/>
      </w:pPr>
      <w:r w:rsidRPr="00AF2D4A">
        <w:rPr>
          <w:sz w:val="28"/>
          <w:szCs w:val="28"/>
        </w:rPr>
        <w:t>Первоначальная Схема энергоснабжения Сочинского энергорайона была разработана в 2009 году в соответствии с реестром заявленных электрических нагрузок в г. Сочи с общей величиной прогнозной нагрузки Сочинского энергорайона на момент проведения Олимпиады с учетом коэффициентов совмещения 1 380 МВт.</w:t>
      </w:r>
    </w:p>
    <w:p w:rsidR="002F6526" w:rsidRPr="00AF2D4A" w:rsidRDefault="002F6526" w:rsidP="002F6526">
      <w:pPr>
        <w:pStyle w:val="aa"/>
        <w:spacing w:after="0" w:line="360" w:lineRule="auto"/>
        <w:ind w:firstLine="708"/>
        <w:jc w:val="both"/>
      </w:pPr>
      <w:r w:rsidRPr="00AF2D4A">
        <w:rPr>
          <w:sz w:val="28"/>
          <w:szCs w:val="28"/>
        </w:rPr>
        <w:t xml:space="preserve">По состоянию на август </w:t>
      </w:r>
      <w:smartTag w:uri="urn:schemas-microsoft-com:office:smarttags" w:element="metricconverter">
        <w:smartTagPr>
          <w:attr w:name="ProductID" w:val="2013 г"/>
        </w:smartTagPr>
        <w:r w:rsidRPr="00AF2D4A">
          <w:rPr>
            <w:sz w:val="28"/>
            <w:szCs w:val="28"/>
          </w:rPr>
          <w:t>2013 г</w:t>
        </w:r>
      </w:smartTag>
      <w:r w:rsidRPr="00AF2D4A">
        <w:rPr>
          <w:sz w:val="28"/>
          <w:szCs w:val="28"/>
        </w:rPr>
        <w:t xml:space="preserve">. в результате мониторинга заявленных электрических нагрузок и проведенной работы по очередной актуализации и оптимизации Реестра </w:t>
      </w:r>
      <w:r w:rsidRPr="00AF2D4A">
        <w:rPr>
          <w:bCs/>
          <w:sz w:val="28"/>
          <w:szCs w:val="28"/>
        </w:rPr>
        <w:t>электрических нагрузок олимпийских объектов в г. Сочи были определены два сценария прогнозной нагрузки энергопотребления: 850 МВт (экономичный вариант) и 1130,5 МВт (скорректированный максимальный вариант).</w:t>
      </w:r>
    </w:p>
    <w:p w:rsidR="002F6526" w:rsidRPr="00AF2D4A" w:rsidRDefault="002F6526" w:rsidP="002F6526">
      <w:pPr>
        <w:spacing w:line="360" w:lineRule="auto"/>
        <w:ind w:firstLine="709"/>
        <w:jc w:val="both"/>
      </w:pPr>
      <w:r w:rsidRPr="00AF2D4A">
        <w:rPr>
          <w:bCs/>
          <w:szCs w:val="36"/>
        </w:rPr>
        <w:t xml:space="preserve">При экономичном варианте обеспечивается надежное электроснабжение потребителей Сочинского энергорайона в соответствии с критерием </w:t>
      </w:r>
      <w:r w:rsidRPr="00AF2D4A">
        <w:rPr>
          <w:bCs/>
          <w:szCs w:val="36"/>
          <w:lang w:val="en-US"/>
        </w:rPr>
        <w:t>n</w:t>
      </w:r>
      <w:r w:rsidRPr="00AF2D4A">
        <w:rPr>
          <w:bCs/>
          <w:szCs w:val="36"/>
        </w:rPr>
        <w:t>-2, избыток мощности составит порядка 69,15 МВт</w:t>
      </w:r>
      <w:r w:rsidRPr="00AF2D4A">
        <w:rPr>
          <w:bCs/>
          <w:i/>
          <w:sz w:val="24"/>
          <w:szCs w:val="36"/>
        </w:rPr>
        <w:t>(с учетом мощности дизельных установок, используемых в олимпийском режиме, в размере 62,95 МВт</w:t>
      </w:r>
      <w:r w:rsidRPr="00AF2D4A">
        <w:rPr>
          <w:bCs/>
          <w:szCs w:val="36"/>
        </w:rPr>
        <w:t xml:space="preserve">). В случае возникновения аварийной ситуации превышение </w:t>
      </w:r>
      <w:r w:rsidRPr="00AF2D4A">
        <w:rPr>
          <w:bCs/>
          <w:szCs w:val="36"/>
        </w:rPr>
        <w:lastRenderedPageBreak/>
        <w:t>максимального потребления над совокупной располагаемой мощностью энергоисточников Сочинского района в 2014 году будет покрыто за счет использования мощности мобильных ГТЭС (газотурбинных электростанций) в объеме 202,5 МВт. Также может быть привлечена для выдачи дополнительной мощности теплоэлектростанция Туапсинского НПЗ (в объеме до 100 МВт).</w:t>
      </w:r>
    </w:p>
    <w:p w:rsidR="002F6526" w:rsidRPr="00AF2D4A" w:rsidRDefault="002F6526" w:rsidP="002F6526">
      <w:pPr>
        <w:spacing w:line="360" w:lineRule="auto"/>
        <w:ind w:firstLine="709"/>
        <w:jc w:val="both"/>
      </w:pPr>
      <w:r w:rsidRPr="00AF2D4A">
        <w:rPr>
          <w:bCs/>
          <w:szCs w:val="36"/>
        </w:rPr>
        <w:t>При максимальном варианте превышение максимального потребления над совокупной располагаемой мощностью без учета</w:t>
      </w:r>
      <w:r w:rsidR="00406C9D">
        <w:rPr>
          <w:bCs/>
          <w:szCs w:val="36"/>
        </w:rPr>
        <w:t xml:space="preserve"> </w:t>
      </w:r>
      <w:r w:rsidRPr="00AF2D4A">
        <w:rPr>
          <w:bCs/>
          <w:szCs w:val="36"/>
        </w:rPr>
        <w:t>Кудепстинской ТЭС составит порядка 211,35 МВт. Дополнительный уровень мощности будет обеспечен за счет</w:t>
      </w:r>
      <w:r w:rsidR="00406C9D">
        <w:rPr>
          <w:bCs/>
          <w:szCs w:val="36"/>
        </w:rPr>
        <w:t xml:space="preserve"> </w:t>
      </w:r>
      <w:r w:rsidRPr="00AF2D4A">
        <w:rPr>
          <w:bCs/>
          <w:szCs w:val="36"/>
        </w:rPr>
        <w:t xml:space="preserve">перетока по линиям 110–220 кВ общей пропускной способностью порядка 660 МВт из Кубанской энергосистемы. В случае возникновения аварийного небаланса будут задействованы </w:t>
      </w:r>
      <w:r w:rsidRPr="00AF2D4A">
        <w:rPr>
          <w:szCs w:val="36"/>
        </w:rPr>
        <w:t>мобильные ГТЭС и ТЭС Туапсинского НПЗ, а также реализованы проектные решения по АПНУ (автоматика предотвращения нарушения устойчивости) Сочинского энергорайона</w:t>
      </w:r>
      <w:r w:rsidRPr="00AF2D4A">
        <w:rPr>
          <w:bCs/>
          <w:szCs w:val="36"/>
        </w:rPr>
        <w:t>.</w:t>
      </w:r>
    </w:p>
    <w:p w:rsidR="002F6526" w:rsidRPr="00AF2D4A" w:rsidRDefault="002F6526" w:rsidP="002F6526">
      <w:pPr>
        <w:spacing w:line="360" w:lineRule="auto"/>
        <w:ind w:firstLine="708"/>
        <w:jc w:val="both"/>
      </w:pPr>
      <w:r w:rsidRPr="00AF2D4A">
        <w:rPr>
          <w:szCs w:val="28"/>
        </w:rPr>
        <w:t>Одной из ключевых мер по обеспечению организации энергоснабжения Сочи является создание центра управления электроснабжением Сочинского энергорайона. В настоящее время ЦУЭ уже функционирует – с января в тестовом режиме, с сентября уже в круглосуточном Олимпийском режиме. Основной функци</w:t>
      </w:r>
      <w:r w:rsidR="00406C9D">
        <w:rPr>
          <w:szCs w:val="28"/>
        </w:rPr>
        <w:t>онал оперативного штаба закрепле</w:t>
      </w:r>
      <w:r w:rsidRPr="00AF2D4A">
        <w:rPr>
          <w:szCs w:val="28"/>
        </w:rPr>
        <w:t xml:space="preserve">н за центром управления электроснабжения и главным энергетиком Олимпиады. </w:t>
      </w:r>
    </w:p>
    <w:p w:rsidR="002F6526" w:rsidRPr="00AF2D4A" w:rsidRDefault="002F6526" w:rsidP="002F6526">
      <w:pPr>
        <w:spacing w:line="360" w:lineRule="auto"/>
        <w:ind w:firstLine="708"/>
        <w:jc w:val="both"/>
      </w:pPr>
      <w:r w:rsidRPr="00AF2D4A">
        <w:rPr>
          <w:szCs w:val="28"/>
        </w:rPr>
        <w:t>2) Для отработки взаимодействия при нештатных ситуациях в сфере энергоснабжения проводятся тренировки с участием энергокомпаний и собственников олимпийских объектов.</w:t>
      </w:r>
    </w:p>
    <w:p w:rsidR="002F6526" w:rsidRPr="00AF2D4A" w:rsidRDefault="002F6526" w:rsidP="002F6526">
      <w:pPr>
        <w:spacing w:line="360" w:lineRule="auto"/>
        <w:ind w:firstLine="708"/>
        <w:jc w:val="both"/>
      </w:pPr>
      <w:r w:rsidRPr="00AF2D4A">
        <w:rPr>
          <w:szCs w:val="28"/>
        </w:rPr>
        <w:t>В период с 12 по 21 августа проведена проверка состояния энергопринимающих установок 11 олимпийских объектов.</w:t>
      </w:r>
    </w:p>
    <w:p w:rsidR="002F6526" w:rsidRPr="00AF2D4A" w:rsidRDefault="002F6526" w:rsidP="002F6526">
      <w:pPr>
        <w:spacing w:line="360" w:lineRule="auto"/>
        <w:ind w:firstLine="708"/>
        <w:jc w:val="both"/>
      </w:pPr>
      <w:r w:rsidRPr="00AF2D4A">
        <w:rPr>
          <w:szCs w:val="28"/>
        </w:rPr>
        <w:t xml:space="preserve">При проверке выявлены характерные замечания и недостатки, влияющие на надёжность электроснабжения олимпийских объектов. По результатам комплексной проверки собственникам объектов даны </w:t>
      </w:r>
      <w:r w:rsidRPr="00AF2D4A">
        <w:rPr>
          <w:szCs w:val="28"/>
        </w:rPr>
        <w:lastRenderedPageBreak/>
        <w:t>необходимые поручения для устранения выявленных</w:t>
      </w:r>
      <w:r w:rsidR="00406C9D">
        <w:rPr>
          <w:szCs w:val="28"/>
        </w:rPr>
        <w:t xml:space="preserve"> замечаний со сроком исполнения</w:t>
      </w:r>
      <w:r w:rsidRPr="00AF2D4A">
        <w:rPr>
          <w:szCs w:val="28"/>
        </w:rPr>
        <w:t xml:space="preserve"> до 15 октября </w:t>
      </w:r>
      <w:smartTag w:uri="urn:schemas-microsoft-com:office:smarttags" w:element="metricconverter">
        <w:smartTagPr>
          <w:attr w:name="ProductID" w:val="2013 г"/>
        </w:smartTagPr>
        <w:r w:rsidRPr="00AF2D4A">
          <w:rPr>
            <w:szCs w:val="28"/>
          </w:rPr>
          <w:t>2013 г</w:t>
        </w:r>
      </w:smartTag>
      <w:r w:rsidRPr="00AF2D4A">
        <w:rPr>
          <w:szCs w:val="28"/>
        </w:rPr>
        <w:t>.</w:t>
      </w:r>
    </w:p>
    <w:p w:rsidR="00406C9D" w:rsidRDefault="002F6526" w:rsidP="00406C9D">
      <w:pPr>
        <w:spacing w:line="360" w:lineRule="auto"/>
        <w:ind w:firstLine="708"/>
        <w:jc w:val="both"/>
      </w:pPr>
      <w:r w:rsidRPr="00AF2D4A">
        <w:rPr>
          <w:szCs w:val="28"/>
        </w:rPr>
        <w:t xml:space="preserve">Кроме того, </w:t>
      </w:r>
      <w:r w:rsidR="00406C9D" w:rsidRPr="00AF2D4A">
        <w:rPr>
          <w:szCs w:val="28"/>
        </w:rPr>
        <w:t xml:space="preserve">проведена </w:t>
      </w:r>
      <w:r w:rsidRPr="00AF2D4A">
        <w:rPr>
          <w:szCs w:val="28"/>
        </w:rPr>
        <w:t>большая работа по сокращению времени проведения возможных аварийно-восстановительных работ. Для этого сформированы аварийно-восстановительные бригады и организовано их круглосуточное дежурство,</w:t>
      </w:r>
      <w:r w:rsidR="00406C9D">
        <w:rPr>
          <w:szCs w:val="28"/>
        </w:rPr>
        <w:t xml:space="preserve"> </w:t>
      </w:r>
      <w:r w:rsidRPr="00AF2D4A">
        <w:rPr>
          <w:szCs w:val="28"/>
        </w:rPr>
        <w:t>проводится ежедневный мониторинг трасс кабельных линий и другие мероприятия.</w:t>
      </w:r>
    </w:p>
    <w:p w:rsidR="002F6526" w:rsidRPr="00406C9D" w:rsidRDefault="002F6526" w:rsidP="00406C9D">
      <w:pPr>
        <w:spacing w:line="360" w:lineRule="auto"/>
        <w:ind w:firstLine="708"/>
        <w:jc w:val="both"/>
      </w:pPr>
      <w:r w:rsidRPr="00AF2D4A">
        <w:rPr>
          <w:szCs w:val="28"/>
        </w:rPr>
        <w:t>Минэнерго России контролирует состояние объектов и отслеживает выполнение собственниками требований законодательства.</w:t>
      </w:r>
    </w:p>
    <w:p w:rsidR="003C7FE4" w:rsidRPr="00AF2D4A" w:rsidRDefault="003C7FE4" w:rsidP="002F6526">
      <w:pPr>
        <w:spacing w:line="360" w:lineRule="auto"/>
        <w:ind w:firstLine="284"/>
        <w:jc w:val="both"/>
      </w:pPr>
    </w:p>
    <w:p w:rsidR="002F6526" w:rsidRPr="00AF2D4A" w:rsidRDefault="002F6526" w:rsidP="002F6526">
      <w:pPr>
        <w:pStyle w:val="a7"/>
        <w:numPr>
          <w:ilvl w:val="0"/>
          <w:numId w:val="2"/>
        </w:numPr>
        <w:suppressAutoHyphens/>
        <w:spacing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AF2D4A">
        <w:rPr>
          <w:rFonts w:ascii="Times New Roman" w:hAnsi="Times New Roman"/>
          <w:b/>
          <w:bCs/>
          <w:sz w:val="28"/>
          <w:szCs w:val="28"/>
        </w:rPr>
        <w:t>Переселение семей шахтеров</w:t>
      </w:r>
      <w:r w:rsidRPr="00AF2D4A">
        <w:rPr>
          <w:rFonts w:ascii="Times New Roman" w:hAnsi="Times New Roman"/>
          <w:b/>
          <w:sz w:val="28"/>
          <w:szCs w:val="28"/>
        </w:rPr>
        <w:t xml:space="preserve"> по программе реструктуризации угольных предприятий из районов, где закрываются шахты, а также из районов Крайнего Севера.</w:t>
      </w:r>
    </w:p>
    <w:p w:rsidR="002F6526" w:rsidRPr="00AF2D4A" w:rsidRDefault="002F6526" w:rsidP="002F6526">
      <w:pPr>
        <w:pStyle w:val="a7"/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2F6526" w:rsidRPr="00AF2D4A" w:rsidRDefault="002F6526" w:rsidP="002F6526">
      <w:pPr>
        <w:pStyle w:val="a7"/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AF2D4A">
        <w:rPr>
          <w:rFonts w:ascii="Times New Roman" w:hAnsi="Times New Roman"/>
          <w:b/>
          <w:sz w:val="28"/>
          <w:szCs w:val="28"/>
        </w:rPr>
        <w:t xml:space="preserve">Описание задачи: </w:t>
      </w:r>
    </w:p>
    <w:p w:rsidR="002F6526" w:rsidRPr="00AF2D4A" w:rsidRDefault="002F6526" w:rsidP="002F6526">
      <w:pPr>
        <w:spacing w:line="360" w:lineRule="auto"/>
        <w:ind w:firstLine="708"/>
        <w:jc w:val="both"/>
      </w:pPr>
      <w:r w:rsidRPr="00AF2D4A">
        <w:rPr>
          <w:szCs w:val="28"/>
        </w:rPr>
        <w:t>Содействие в переселении граждан из ветхого жилья, ставшего непригодным для проживания по критериям безопасности на подработанных горными работами территориях, а также из районов Крайнего Севера и приравненных к ним местностях.</w:t>
      </w:r>
    </w:p>
    <w:p w:rsidR="002F6526" w:rsidRPr="00AF2D4A" w:rsidRDefault="002F6526" w:rsidP="002F6526">
      <w:pPr>
        <w:pStyle w:val="a7"/>
        <w:spacing w:line="360" w:lineRule="auto"/>
        <w:ind w:left="708"/>
        <w:jc w:val="both"/>
        <w:rPr>
          <w:rFonts w:ascii="Times New Roman" w:hAnsi="Times New Roman"/>
        </w:rPr>
      </w:pPr>
      <w:r w:rsidRPr="00AF2D4A">
        <w:rPr>
          <w:rFonts w:ascii="Times New Roman" w:hAnsi="Times New Roman"/>
          <w:b/>
          <w:sz w:val="28"/>
          <w:szCs w:val="28"/>
        </w:rPr>
        <w:t>Ожидаемый стратегический эффект:</w:t>
      </w:r>
    </w:p>
    <w:p w:rsidR="002F6526" w:rsidRPr="00AF2D4A" w:rsidRDefault="002F6526" w:rsidP="002F6526">
      <w:pPr>
        <w:spacing w:line="360" w:lineRule="auto"/>
        <w:jc w:val="both"/>
        <w:rPr>
          <w:szCs w:val="28"/>
        </w:rPr>
      </w:pPr>
      <w:r w:rsidRPr="00AF2D4A">
        <w:tab/>
      </w:r>
      <w:r w:rsidRPr="00AF2D4A">
        <w:rPr>
          <w:szCs w:val="28"/>
        </w:rPr>
        <w:t xml:space="preserve">Выполнение социальных обязательств государства, создание условий для продолжения трудовой активности жителей на новых территориях. </w:t>
      </w:r>
    </w:p>
    <w:p w:rsidR="002F6526" w:rsidRPr="00AF2D4A" w:rsidRDefault="002F6526" w:rsidP="002F6526">
      <w:pPr>
        <w:pStyle w:val="a7"/>
        <w:spacing w:line="360" w:lineRule="auto"/>
        <w:ind w:left="708"/>
        <w:jc w:val="both"/>
        <w:rPr>
          <w:rFonts w:ascii="Times New Roman" w:hAnsi="Times New Roman"/>
        </w:rPr>
      </w:pPr>
    </w:p>
    <w:p w:rsidR="002F6526" w:rsidRPr="00AF2D4A" w:rsidRDefault="002F6526" w:rsidP="002F6526">
      <w:pPr>
        <w:pStyle w:val="a7"/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AF2D4A">
        <w:rPr>
          <w:rFonts w:ascii="Times New Roman" w:hAnsi="Times New Roman"/>
          <w:b/>
          <w:sz w:val="28"/>
          <w:szCs w:val="28"/>
        </w:rPr>
        <w:t>Целевой показатель на 2013 год:</w:t>
      </w:r>
    </w:p>
    <w:p w:rsidR="002F6526" w:rsidRPr="00AF2D4A" w:rsidRDefault="002F6526" w:rsidP="002F6526">
      <w:pPr>
        <w:pStyle w:val="a7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F2D4A">
        <w:rPr>
          <w:rFonts w:ascii="Times New Roman" w:hAnsi="Times New Roman"/>
          <w:sz w:val="28"/>
          <w:szCs w:val="28"/>
        </w:rPr>
        <w:t>Переселение 2000 семей шахтеров.</w:t>
      </w:r>
    </w:p>
    <w:p w:rsidR="002F6526" w:rsidRPr="00AF2D4A" w:rsidRDefault="002F6526" w:rsidP="002F6526">
      <w:pPr>
        <w:pStyle w:val="a7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2F6526" w:rsidRPr="00AF2D4A" w:rsidRDefault="002F6526" w:rsidP="002F6526">
      <w:pPr>
        <w:pStyle w:val="a7"/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AF2D4A">
        <w:rPr>
          <w:rFonts w:ascii="Times New Roman" w:hAnsi="Times New Roman"/>
          <w:b/>
          <w:sz w:val="28"/>
          <w:szCs w:val="28"/>
        </w:rPr>
        <w:t>Отчет о достижении целевого показателя:</w:t>
      </w:r>
    </w:p>
    <w:p w:rsidR="002F6526" w:rsidRPr="00AF2D4A" w:rsidRDefault="002F6526" w:rsidP="002F6526">
      <w:pPr>
        <w:spacing w:line="360" w:lineRule="auto"/>
        <w:ind w:firstLine="708"/>
        <w:jc w:val="both"/>
      </w:pPr>
      <w:r w:rsidRPr="00AF2D4A">
        <w:rPr>
          <w:szCs w:val="28"/>
        </w:rPr>
        <w:lastRenderedPageBreak/>
        <w:t>По состоянию на сентябрь 2013 года по этим направления всего</w:t>
      </w:r>
      <w:r w:rsidR="00406C9D">
        <w:rPr>
          <w:szCs w:val="28"/>
        </w:rPr>
        <w:t xml:space="preserve"> </w:t>
      </w:r>
      <w:r w:rsidRPr="00AF2D4A">
        <w:rPr>
          <w:szCs w:val="28"/>
        </w:rPr>
        <w:t>переселено 1075 семей</w:t>
      </w:r>
      <w:r w:rsidR="00406C9D">
        <w:rPr>
          <w:szCs w:val="28"/>
        </w:rPr>
        <w:t xml:space="preserve"> </w:t>
      </w:r>
      <w:r w:rsidRPr="00AF2D4A">
        <w:rPr>
          <w:szCs w:val="28"/>
        </w:rPr>
        <w:t>(в том числе:</w:t>
      </w:r>
      <w:r w:rsidR="00406C9D">
        <w:rPr>
          <w:szCs w:val="28"/>
        </w:rPr>
        <w:t xml:space="preserve"> </w:t>
      </w:r>
      <w:r w:rsidRPr="00AF2D4A">
        <w:rPr>
          <w:szCs w:val="28"/>
        </w:rPr>
        <w:t>Тульская область - 2 семьи, Ростовская область - 481 семья, Пермский край</w:t>
      </w:r>
      <w:r w:rsidR="00406C9D">
        <w:rPr>
          <w:szCs w:val="28"/>
        </w:rPr>
        <w:t xml:space="preserve"> </w:t>
      </w:r>
      <w:r w:rsidRPr="00AF2D4A">
        <w:rPr>
          <w:szCs w:val="28"/>
        </w:rPr>
        <w:t>-85 семей, Кемеровская область - 275 семей, Приморский край - 21 семья, Республика Коми - 74 семьи, Сахалинская область - 100 семей и Свердловская область - 19 семей).</w:t>
      </w:r>
      <w:r w:rsidR="00406C9D">
        <w:rPr>
          <w:szCs w:val="28"/>
        </w:rPr>
        <w:t xml:space="preserve"> </w:t>
      </w:r>
    </w:p>
    <w:p w:rsidR="00406C9D" w:rsidRDefault="00406C9D" w:rsidP="002F6526">
      <w:pPr>
        <w:tabs>
          <w:tab w:val="left" w:pos="720"/>
        </w:tabs>
        <w:spacing w:line="360" w:lineRule="auto"/>
        <w:ind w:firstLine="720"/>
        <w:jc w:val="both"/>
        <w:rPr>
          <w:b/>
          <w:szCs w:val="28"/>
        </w:rPr>
      </w:pPr>
    </w:p>
    <w:p w:rsidR="002F6526" w:rsidRPr="00AF2D4A" w:rsidRDefault="002F6526" w:rsidP="002F6526">
      <w:pPr>
        <w:tabs>
          <w:tab w:val="left" w:pos="720"/>
        </w:tabs>
        <w:spacing w:line="360" w:lineRule="auto"/>
        <w:ind w:firstLine="720"/>
        <w:jc w:val="both"/>
      </w:pPr>
      <w:r w:rsidRPr="00AF2D4A">
        <w:rPr>
          <w:b/>
          <w:szCs w:val="28"/>
        </w:rPr>
        <w:t>Отчет о выполнении мероприятий по достижению целевых показателей:</w:t>
      </w:r>
    </w:p>
    <w:p w:rsidR="002F6526" w:rsidRPr="00AF2D4A" w:rsidRDefault="002F6526" w:rsidP="002F6526">
      <w:pPr>
        <w:spacing w:line="360" w:lineRule="auto"/>
        <w:ind w:firstLine="708"/>
        <w:jc w:val="both"/>
      </w:pPr>
      <w:r w:rsidRPr="00AF2D4A">
        <w:rPr>
          <w:szCs w:val="28"/>
        </w:rPr>
        <w:t>Мероприятия по переселению организованы в соответствии с Правилами предоставления межбюджетных трансфертов на реализацию программ местного развития и обеспечение занятости для шахтерских городов и поселков, (</w:t>
      </w:r>
      <w:r w:rsidRPr="00AF2D4A">
        <w:rPr>
          <w:i/>
          <w:sz w:val="24"/>
          <w:szCs w:val="28"/>
        </w:rPr>
        <w:t xml:space="preserve">утвержденных постановлением Правительства Российской Федерации от 13 июля </w:t>
      </w:r>
      <w:smartTag w:uri="urn:schemas-microsoft-com:office:smarttags" w:element="metricconverter">
        <w:smartTagPr>
          <w:attr w:name="ProductID" w:val="2005 г"/>
        </w:smartTagPr>
        <w:r w:rsidRPr="00AF2D4A">
          <w:rPr>
            <w:i/>
            <w:sz w:val="24"/>
            <w:szCs w:val="28"/>
          </w:rPr>
          <w:t>2005 г</w:t>
        </w:r>
      </w:smartTag>
      <w:r w:rsidRPr="00AF2D4A">
        <w:rPr>
          <w:i/>
          <w:sz w:val="24"/>
          <w:szCs w:val="28"/>
        </w:rPr>
        <w:t>. № 428).</w:t>
      </w:r>
    </w:p>
    <w:p w:rsidR="002F6526" w:rsidRPr="00AF2D4A" w:rsidRDefault="002F6526" w:rsidP="002F6526">
      <w:pPr>
        <w:spacing w:line="360" w:lineRule="auto"/>
        <w:ind w:firstLine="708"/>
        <w:jc w:val="both"/>
      </w:pPr>
      <w:r w:rsidRPr="00AF2D4A">
        <w:rPr>
          <w:szCs w:val="28"/>
        </w:rPr>
        <w:t>В соответствии с указанными Правилами содействие в приобретении</w:t>
      </w:r>
      <w:r w:rsidR="00406C9D">
        <w:rPr>
          <w:szCs w:val="28"/>
        </w:rPr>
        <w:t xml:space="preserve">  </w:t>
      </w:r>
      <w:r w:rsidRPr="00AF2D4A">
        <w:rPr>
          <w:szCs w:val="28"/>
        </w:rPr>
        <w:t>(строительстве) жилья переселяемым гражданам осуществляется в форме предоставления социальных выплат.</w:t>
      </w:r>
      <w:r w:rsidR="00406C9D">
        <w:rPr>
          <w:szCs w:val="28"/>
        </w:rPr>
        <w:t xml:space="preserve"> </w:t>
      </w:r>
      <w:r w:rsidRPr="00AF2D4A">
        <w:rPr>
          <w:szCs w:val="28"/>
        </w:rPr>
        <w:t>Социальные выплаты предоставляются на основании утвержденных органами местного самоуправления шахтерских городов и поселков и согласованных с Минэнерго России списков граждан.</w:t>
      </w:r>
    </w:p>
    <w:p w:rsidR="002F6526" w:rsidRPr="00AF2D4A" w:rsidRDefault="002F6526" w:rsidP="002F6526">
      <w:pPr>
        <w:spacing w:line="360" w:lineRule="auto"/>
        <w:ind w:firstLine="708"/>
        <w:jc w:val="both"/>
      </w:pPr>
      <w:r w:rsidRPr="00AF2D4A">
        <w:rPr>
          <w:szCs w:val="28"/>
        </w:rPr>
        <w:t>Министерством энергетики Российской Федерации в 2013 году перечислены межбюджетные трансферты 5 субъектам Российской Федерации</w:t>
      </w:r>
      <w:r w:rsidR="00406C9D">
        <w:rPr>
          <w:szCs w:val="28"/>
        </w:rPr>
        <w:t xml:space="preserve"> </w:t>
      </w:r>
      <w:r w:rsidRPr="00AF2D4A">
        <w:rPr>
          <w:szCs w:val="28"/>
        </w:rPr>
        <w:t xml:space="preserve">по направлению «Содействие гражданам в приобретении (строительстве) жилья взамен сносимого ветхого жилья, ставшего в результате ведения горных работ на ликвидируемых непригодным для проживания по критериям безопасности» в сумме 3 150 149,2 тыс. рублей </w:t>
      </w:r>
      <w:r w:rsidR="00DC07CA">
        <w:rPr>
          <w:szCs w:val="28"/>
        </w:rPr>
        <w:br/>
      </w:r>
      <w:r w:rsidRPr="00AF2D4A">
        <w:rPr>
          <w:szCs w:val="28"/>
        </w:rPr>
        <w:t>и 2 субъектам Российской Федерации по направлению «Содействие в приобретении</w:t>
      </w:r>
      <w:r w:rsidR="00406C9D">
        <w:rPr>
          <w:szCs w:val="28"/>
        </w:rPr>
        <w:t xml:space="preserve"> </w:t>
      </w:r>
      <w:r w:rsidRPr="00AF2D4A">
        <w:rPr>
          <w:szCs w:val="28"/>
        </w:rPr>
        <w:t>(строительстве) жилья но новому месту жительства работникам,</w:t>
      </w:r>
      <w:r w:rsidR="00406C9D">
        <w:rPr>
          <w:szCs w:val="28"/>
        </w:rPr>
        <w:t xml:space="preserve"> </w:t>
      </w:r>
      <w:r w:rsidRPr="00AF2D4A">
        <w:rPr>
          <w:szCs w:val="28"/>
        </w:rPr>
        <w:t>высвобожденным до 1 января 2005 г. при ликвидации расположенных в районах крайнего Севера и приравненных к ним местностях организаций угольной промышленности»</w:t>
      </w:r>
      <w:r w:rsidR="00406C9D">
        <w:rPr>
          <w:szCs w:val="28"/>
        </w:rPr>
        <w:t>,</w:t>
      </w:r>
      <w:r w:rsidRPr="00AF2D4A">
        <w:rPr>
          <w:szCs w:val="28"/>
        </w:rPr>
        <w:t xml:space="preserve"> в сумме 859 982,0 тыс. рублей.</w:t>
      </w:r>
    </w:p>
    <w:p w:rsidR="002F6526" w:rsidRPr="00AF2D4A" w:rsidRDefault="002F6526" w:rsidP="002F6526">
      <w:pPr>
        <w:spacing w:line="360" w:lineRule="auto"/>
        <w:ind w:firstLine="708"/>
        <w:jc w:val="both"/>
      </w:pPr>
      <w:r w:rsidRPr="00AF2D4A">
        <w:rPr>
          <w:szCs w:val="28"/>
        </w:rPr>
        <w:lastRenderedPageBreak/>
        <w:t>Работа по переселению оставшихся семей из 2000 семей продолжается</w:t>
      </w:r>
      <w:r w:rsidR="00406C9D">
        <w:rPr>
          <w:szCs w:val="28"/>
        </w:rPr>
        <w:t xml:space="preserve"> </w:t>
      </w:r>
      <w:r w:rsidRPr="00AF2D4A">
        <w:rPr>
          <w:szCs w:val="28"/>
        </w:rPr>
        <w:t>согласно спискам, утвержденным муниципальными образованиями и</w:t>
      </w:r>
      <w:r w:rsidR="00781459">
        <w:rPr>
          <w:szCs w:val="28"/>
        </w:rPr>
        <w:t xml:space="preserve"> согласованным Минэнерго России </w:t>
      </w:r>
      <w:r w:rsidRPr="00AF2D4A">
        <w:rPr>
          <w:szCs w:val="28"/>
        </w:rPr>
        <w:t>и будет выполнена до конца</w:t>
      </w:r>
      <w:r w:rsidR="00406C9D">
        <w:rPr>
          <w:szCs w:val="28"/>
        </w:rPr>
        <w:t xml:space="preserve"> </w:t>
      </w:r>
      <w:r w:rsidRPr="00AF2D4A">
        <w:rPr>
          <w:szCs w:val="28"/>
        </w:rPr>
        <w:t>текущего года.</w:t>
      </w:r>
    </w:p>
    <w:p w:rsidR="002F6526" w:rsidRDefault="002F6526" w:rsidP="00E82C70">
      <w:pPr>
        <w:rPr>
          <w:u w:val="single"/>
        </w:rPr>
      </w:pPr>
    </w:p>
    <w:sectPr w:rsidR="002F6526" w:rsidSect="0048507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697" w:rsidRDefault="00691697" w:rsidP="00485071">
      <w:r>
        <w:separator/>
      </w:r>
    </w:p>
  </w:endnote>
  <w:endnote w:type="continuationSeparator" w:id="1">
    <w:p w:rsidR="00691697" w:rsidRDefault="00691697" w:rsidP="00485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697" w:rsidRDefault="00691697" w:rsidP="00485071">
      <w:r>
        <w:separator/>
      </w:r>
    </w:p>
  </w:footnote>
  <w:footnote w:type="continuationSeparator" w:id="1">
    <w:p w:rsidR="00691697" w:rsidRDefault="00691697" w:rsidP="00485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445345"/>
      <w:docPartObj>
        <w:docPartGallery w:val="Page Numbers (Top of Page)"/>
        <w:docPartUnique/>
      </w:docPartObj>
    </w:sdtPr>
    <w:sdtContent>
      <w:p w:rsidR="00485071" w:rsidRDefault="0022308C">
        <w:pPr>
          <w:pStyle w:val="ab"/>
          <w:jc w:val="right"/>
        </w:pPr>
        <w:fldSimple w:instr=" PAGE   \* MERGEFORMAT ">
          <w:r w:rsidR="00D86BC3">
            <w:rPr>
              <w:noProof/>
            </w:rPr>
            <w:t>5</w:t>
          </w:r>
        </w:fldSimple>
      </w:p>
    </w:sdtContent>
  </w:sdt>
  <w:p w:rsidR="00485071" w:rsidRDefault="0048507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4477C"/>
    <w:multiLevelType w:val="multilevel"/>
    <w:tmpl w:val="0F28C5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F466C4"/>
    <w:multiLevelType w:val="multilevel"/>
    <w:tmpl w:val="FFFFFFFF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2C04B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3">
    <w:nsid w:val="48440A62"/>
    <w:multiLevelType w:val="hybridMultilevel"/>
    <w:tmpl w:val="9B1E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D765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8A229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C70"/>
    <w:rsid w:val="00030697"/>
    <w:rsid w:val="00055D1B"/>
    <w:rsid w:val="000B36C0"/>
    <w:rsid w:val="000C0184"/>
    <w:rsid w:val="001357C5"/>
    <w:rsid w:val="00184EFA"/>
    <w:rsid w:val="00185091"/>
    <w:rsid w:val="001A7352"/>
    <w:rsid w:val="0022308C"/>
    <w:rsid w:val="0024701A"/>
    <w:rsid w:val="00247FD7"/>
    <w:rsid w:val="00297B4F"/>
    <w:rsid w:val="002C48A4"/>
    <w:rsid w:val="002D2895"/>
    <w:rsid w:val="002F6526"/>
    <w:rsid w:val="00341EEE"/>
    <w:rsid w:val="003C7FE4"/>
    <w:rsid w:val="00406C9D"/>
    <w:rsid w:val="00445A77"/>
    <w:rsid w:val="00485071"/>
    <w:rsid w:val="004E570A"/>
    <w:rsid w:val="004E62C6"/>
    <w:rsid w:val="004F27EA"/>
    <w:rsid w:val="00516180"/>
    <w:rsid w:val="00586E40"/>
    <w:rsid w:val="005B3E3E"/>
    <w:rsid w:val="005C5C9A"/>
    <w:rsid w:val="00627C3D"/>
    <w:rsid w:val="006473E5"/>
    <w:rsid w:val="006516FF"/>
    <w:rsid w:val="00691697"/>
    <w:rsid w:val="006F7139"/>
    <w:rsid w:val="00781459"/>
    <w:rsid w:val="007F6E1D"/>
    <w:rsid w:val="00813768"/>
    <w:rsid w:val="00935916"/>
    <w:rsid w:val="009440D9"/>
    <w:rsid w:val="00A02A5C"/>
    <w:rsid w:val="00A445E2"/>
    <w:rsid w:val="00A55F3F"/>
    <w:rsid w:val="00A76BA4"/>
    <w:rsid w:val="00AD47CD"/>
    <w:rsid w:val="00B4204C"/>
    <w:rsid w:val="00B430F9"/>
    <w:rsid w:val="00C23204"/>
    <w:rsid w:val="00C9387D"/>
    <w:rsid w:val="00CB7354"/>
    <w:rsid w:val="00CC1D61"/>
    <w:rsid w:val="00CC5ED0"/>
    <w:rsid w:val="00CD53EC"/>
    <w:rsid w:val="00D86BC3"/>
    <w:rsid w:val="00DA3668"/>
    <w:rsid w:val="00DC07CA"/>
    <w:rsid w:val="00DD06A5"/>
    <w:rsid w:val="00DD54A1"/>
    <w:rsid w:val="00E00C03"/>
    <w:rsid w:val="00E82C70"/>
    <w:rsid w:val="00EB60D1"/>
    <w:rsid w:val="00F13395"/>
    <w:rsid w:val="00F65F03"/>
    <w:rsid w:val="00FD7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B60D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qFormat/>
    <w:rsid w:val="00EB60D1"/>
    <w:pPr>
      <w:keepNext/>
      <w:tabs>
        <w:tab w:val="left" w:pos="1276"/>
        <w:tab w:val="left" w:pos="8820"/>
        <w:tab w:val="left" w:pos="9540"/>
      </w:tabs>
      <w:spacing w:before="100"/>
      <w:ind w:right="75"/>
      <w:jc w:val="both"/>
      <w:outlineLvl w:val="0"/>
    </w:pPr>
    <w:rPr>
      <w:rFonts w:eastAsia="Times New Roman" w:cs="Tahoma"/>
      <w:color w:val="548DD4"/>
      <w:szCs w:val="28"/>
      <w:lang w:eastAsia="en-US"/>
    </w:rPr>
  </w:style>
  <w:style w:type="paragraph" w:styleId="2">
    <w:name w:val="heading 2"/>
    <w:basedOn w:val="a"/>
    <w:link w:val="20"/>
    <w:qFormat/>
    <w:rsid w:val="00EB60D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EB60D1"/>
    <w:pPr>
      <w:keepNext/>
      <w:outlineLvl w:val="2"/>
    </w:pPr>
    <w:rPr>
      <w:rFonts w:eastAsia="Times New Roman"/>
      <w:szCs w:val="24"/>
      <w:u w:val="single"/>
    </w:rPr>
  </w:style>
  <w:style w:type="paragraph" w:styleId="4">
    <w:name w:val="heading 4"/>
    <w:basedOn w:val="a"/>
    <w:next w:val="a"/>
    <w:link w:val="40"/>
    <w:qFormat/>
    <w:rsid w:val="00EB60D1"/>
    <w:pPr>
      <w:keepNext/>
      <w:outlineLvl w:val="3"/>
    </w:pPr>
    <w:rPr>
      <w:rFonts w:ascii="Arial" w:eastAsia="Times New Roman" w:hAnsi="Arial"/>
      <w:b/>
      <w:bCs/>
      <w:i/>
      <w:iCs/>
      <w:color w:val="808080"/>
      <w:sz w:val="22"/>
      <w:szCs w:val="24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EB60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B60D1"/>
    <w:pPr>
      <w:keepNext/>
      <w:outlineLvl w:val="5"/>
    </w:pPr>
    <w:rPr>
      <w:rFonts w:ascii="Arial" w:eastAsia="Times New Roman" w:hAnsi="Arial"/>
      <w:i/>
      <w:iCs/>
      <w:sz w:val="24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EB60D1"/>
    <w:pPr>
      <w:keepNext/>
      <w:spacing w:after="150"/>
      <w:ind w:left="-150"/>
      <w:outlineLvl w:val="6"/>
    </w:pPr>
    <w:rPr>
      <w:rFonts w:ascii="Arial" w:eastAsia="Times New Roman" w:hAnsi="Arial"/>
      <w:i/>
      <w:iCs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EB60D1"/>
    <w:pPr>
      <w:keepNext/>
      <w:shd w:val="clear" w:color="auto" w:fill="FFFFFF"/>
      <w:spacing w:after="120"/>
      <w:outlineLvl w:val="7"/>
    </w:pPr>
    <w:rPr>
      <w:rFonts w:ascii="Arial" w:eastAsia="Times New Roman" w:hAnsi="Arial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EB60D1"/>
    <w:pPr>
      <w:keepNext/>
      <w:outlineLvl w:val="8"/>
    </w:pPr>
    <w:rPr>
      <w:rFonts w:ascii="Arial" w:eastAsia="Times New Roman" w:hAnsi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0D1"/>
    <w:rPr>
      <w:rFonts w:ascii="Times New Roman" w:eastAsia="Times New Roman" w:hAnsi="Times New Roman" w:cs="Tahoma"/>
      <w:color w:val="548DD4"/>
      <w:sz w:val="28"/>
      <w:szCs w:val="28"/>
      <w:lang w:eastAsia="en-US"/>
    </w:rPr>
  </w:style>
  <w:style w:type="character" w:customStyle="1" w:styleId="20">
    <w:name w:val="Заголовок 2 Знак"/>
    <w:link w:val="2"/>
    <w:rsid w:val="00EB60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B60D1"/>
    <w:rPr>
      <w:rFonts w:ascii="Times New Roman" w:eastAsia="Times New Roman" w:hAnsi="Times New Roman"/>
      <w:sz w:val="28"/>
      <w:szCs w:val="24"/>
      <w:u w:val="single"/>
    </w:rPr>
  </w:style>
  <w:style w:type="character" w:customStyle="1" w:styleId="40">
    <w:name w:val="Заголовок 4 Знак"/>
    <w:basedOn w:val="a0"/>
    <w:link w:val="4"/>
    <w:rsid w:val="00EB60D1"/>
    <w:rPr>
      <w:rFonts w:ascii="Arial" w:eastAsia="Times New Roman" w:hAnsi="Arial"/>
      <w:b/>
      <w:bCs/>
      <w:i/>
      <w:iCs/>
      <w:color w:val="808080"/>
      <w:sz w:val="22"/>
      <w:szCs w:val="24"/>
      <w:lang w:eastAsia="en-US"/>
    </w:rPr>
  </w:style>
  <w:style w:type="character" w:customStyle="1" w:styleId="50">
    <w:name w:val="Заголовок 5 Знак"/>
    <w:link w:val="5"/>
    <w:rsid w:val="00EB60D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B60D1"/>
    <w:rPr>
      <w:rFonts w:ascii="Arial" w:eastAsia="Times New Roman" w:hAnsi="Arial"/>
      <w:i/>
      <w:iCs/>
      <w:sz w:val="24"/>
      <w:szCs w:val="24"/>
      <w:lang w:eastAsia="en-US"/>
    </w:rPr>
  </w:style>
  <w:style w:type="character" w:customStyle="1" w:styleId="70">
    <w:name w:val="Заголовок 7 Знак"/>
    <w:basedOn w:val="a0"/>
    <w:link w:val="7"/>
    <w:rsid w:val="00EB60D1"/>
    <w:rPr>
      <w:rFonts w:ascii="Arial" w:eastAsia="Times New Roman" w:hAnsi="Arial"/>
      <w:i/>
      <w:iCs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EB60D1"/>
    <w:rPr>
      <w:rFonts w:ascii="Arial" w:eastAsia="Times New Roman" w:hAnsi="Arial"/>
      <w:i/>
      <w:iCs/>
      <w:sz w:val="24"/>
      <w:szCs w:val="24"/>
      <w:shd w:val="clear" w:color="auto" w:fill="FFFFFF"/>
      <w:lang w:eastAsia="en-US"/>
    </w:rPr>
  </w:style>
  <w:style w:type="character" w:customStyle="1" w:styleId="90">
    <w:name w:val="Заголовок 9 Знак"/>
    <w:basedOn w:val="a0"/>
    <w:link w:val="9"/>
    <w:rsid w:val="00EB60D1"/>
    <w:rPr>
      <w:rFonts w:ascii="Arial" w:eastAsia="Times New Roman" w:hAnsi="Arial"/>
      <w:b/>
      <w:bCs/>
      <w:i/>
      <w:iCs/>
      <w:sz w:val="24"/>
      <w:szCs w:val="24"/>
    </w:rPr>
  </w:style>
  <w:style w:type="paragraph" w:styleId="a3">
    <w:name w:val="caption"/>
    <w:basedOn w:val="a"/>
    <w:next w:val="a"/>
    <w:qFormat/>
    <w:rsid w:val="00EB60D1"/>
    <w:pPr>
      <w:spacing w:before="360"/>
    </w:pPr>
    <w:rPr>
      <w:rFonts w:ascii="Franklin Gothic Medium" w:eastAsia="Times New Roman" w:hAnsi="Franklin Gothic Medium"/>
      <w:color w:val="003366"/>
      <w:sz w:val="40"/>
      <w:szCs w:val="40"/>
      <w:lang w:eastAsia="en-US"/>
    </w:rPr>
  </w:style>
  <w:style w:type="character" w:styleId="a4">
    <w:name w:val="Strong"/>
    <w:uiPriority w:val="22"/>
    <w:qFormat/>
    <w:rsid w:val="00EB60D1"/>
    <w:rPr>
      <w:b/>
      <w:bCs/>
    </w:rPr>
  </w:style>
  <w:style w:type="character" w:styleId="a5">
    <w:name w:val="Emphasis"/>
    <w:aliases w:val="заголовок"/>
    <w:uiPriority w:val="20"/>
    <w:qFormat/>
    <w:rsid w:val="00EB60D1"/>
    <w:rPr>
      <w:b/>
      <w:bCs/>
      <w:i w:val="0"/>
      <w:iCs w:val="0"/>
    </w:rPr>
  </w:style>
  <w:style w:type="paragraph" w:styleId="a6">
    <w:name w:val="No Spacing"/>
    <w:uiPriority w:val="1"/>
    <w:qFormat/>
    <w:rsid w:val="00EB60D1"/>
    <w:rPr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EB60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TOC Heading"/>
    <w:basedOn w:val="1"/>
    <w:next w:val="a"/>
    <w:qFormat/>
    <w:rsid w:val="00EB60D1"/>
    <w:pPr>
      <w:keepLines/>
      <w:spacing w:before="480" w:line="276" w:lineRule="auto"/>
      <w:outlineLvl w:val="9"/>
    </w:pPr>
    <w:rPr>
      <w:rFonts w:ascii="Cambria" w:hAnsi="Cambria" w:cs="Times New Roman"/>
      <w:b/>
      <w:bCs/>
      <w:i/>
      <w:iCs/>
      <w:color w:val="365F91"/>
    </w:rPr>
  </w:style>
  <w:style w:type="paragraph" w:customStyle="1" w:styleId="11">
    <w:name w:val="Стиль1"/>
    <w:basedOn w:val="a"/>
    <w:qFormat/>
    <w:rsid w:val="00EB60D1"/>
    <w:pPr>
      <w:spacing w:line="360" w:lineRule="auto"/>
      <w:ind w:firstLine="284"/>
      <w:jc w:val="both"/>
    </w:pPr>
    <w:rPr>
      <w:szCs w:val="22"/>
      <w:lang w:eastAsia="en-US"/>
    </w:rPr>
  </w:style>
  <w:style w:type="paragraph" w:customStyle="1" w:styleId="a9">
    <w:name w:val="Второй заголовок"/>
    <w:basedOn w:val="1"/>
    <w:qFormat/>
    <w:rsid w:val="00EB60D1"/>
  </w:style>
  <w:style w:type="paragraph" w:customStyle="1" w:styleId="21">
    <w:name w:val="Стиль2"/>
    <w:basedOn w:val="2"/>
    <w:qFormat/>
    <w:rsid w:val="00EB60D1"/>
    <w:pPr>
      <w:keepNext/>
      <w:pBdr>
        <w:top w:val="single" w:sz="4" w:space="6" w:color="333399"/>
        <w:bottom w:val="single" w:sz="4" w:space="6" w:color="333399"/>
      </w:pBdr>
      <w:tabs>
        <w:tab w:val="left" w:pos="9360"/>
      </w:tabs>
      <w:spacing w:beforeAutospacing="0" w:after="60" w:afterAutospacing="0"/>
      <w:jc w:val="both"/>
    </w:pPr>
    <w:rPr>
      <w:rFonts w:ascii="Franklin Gothic Medium" w:hAnsi="Franklin Gothic Medium" w:cs="Arial"/>
      <w:iCs/>
      <w:caps/>
      <w:color w:val="808080"/>
      <w:szCs w:val="28"/>
      <w:lang w:eastAsia="en-US"/>
    </w:rPr>
  </w:style>
  <w:style w:type="character" w:customStyle="1" w:styleId="InternetLink">
    <w:name w:val="Internet Link"/>
    <w:basedOn w:val="a0"/>
    <w:uiPriority w:val="99"/>
    <w:rsid w:val="002F6526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2F6526"/>
    <w:pPr>
      <w:suppressAutoHyphens/>
      <w:spacing w:before="28" w:after="28" w:line="100" w:lineRule="atLeast"/>
    </w:pPr>
    <w:rPr>
      <w:rFonts w:eastAsia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850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85071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semiHidden/>
    <w:unhideWhenUsed/>
    <w:rsid w:val="004850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85071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B60D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qFormat/>
    <w:rsid w:val="00EB60D1"/>
    <w:pPr>
      <w:keepNext/>
      <w:tabs>
        <w:tab w:val="left" w:pos="1276"/>
        <w:tab w:val="left" w:pos="8820"/>
        <w:tab w:val="left" w:pos="9540"/>
      </w:tabs>
      <w:spacing w:before="100"/>
      <w:ind w:right="75"/>
      <w:jc w:val="both"/>
      <w:outlineLvl w:val="0"/>
    </w:pPr>
    <w:rPr>
      <w:rFonts w:eastAsia="Times New Roman" w:cs="Tahoma"/>
      <w:color w:val="548DD4"/>
      <w:szCs w:val="28"/>
      <w:lang w:eastAsia="en-US"/>
    </w:rPr>
  </w:style>
  <w:style w:type="paragraph" w:styleId="2">
    <w:name w:val="heading 2"/>
    <w:basedOn w:val="a"/>
    <w:link w:val="20"/>
    <w:qFormat/>
    <w:rsid w:val="00EB60D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EB60D1"/>
    <w:pPr>
      <w:keepNext/>
      <w:outlineLvl w:val="2"/>
    </w:pPr>
    <w:rPr>
      <w:rFonts w:eastAsia="Times New Roman"/>
      <w:szCs w:val="24"/>
      <w:u w:val="single"/>
    </w:rPr>
  </w:style>
  <w:style w:type="paragraph" w:styleId="4">
    <w:name w:val="heading 4"/>
    <w:basedOn w:val="a"/>
    <w:next w:val="a"/>
    <w:link w:val="40"/>
    <w:qFormat/>
    <w:rsid w:val="00EB60D1"/>
    <w:pPr>
      <w:keepNext/>
      <w:outlineLvl w:val="3"/>
    </w:pPr>
    <w:rPr>
      <w:rFonts w:ascii="Arial" w:eastAsia="Times New Roman" w:hAnsi="Arial"/>
      <w:b/>
      <w:bCs/>
      <w:i/>
      <w:iCs/>
      <w:color w:val="808080"/>
      <w:sz w:val="22"/>
      <w:szCs w:val="24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EB60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B60D1"/>
    <w:pPr>
      <w:keepNext/>
      <w:outlineLvl w:val="5"/>
    </w:pPr>
    <w:rPr>
      <w:rFonts w:ascii="Arial" w:eastAsia="Times New Roman" w:hAnsi="Arial"/>
      <w:i/>
      <w:iCs/>
      <w:sz w:val="24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EB60D1"/>
    <w:pPr>
      <w:keepNext/>
      <w:spacing w:after="150"/>
      <w:ind w:left="-150"/>
      <w:outlineLvl w:val="6"/>
    </w:pPr>
    <w:rPr>
      <w:rFonts w:ascii="Arial" w:eastAsia="Times New Roman" w:hAnsi="Arial"/>
      <w:i/>
      <w:iCs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EB60D1"/>
    <w:pPr>
      <w:keepNext/>
      <w:shd w:val="clear" w:color="auto" w:fill="FFFFFF"/>
      <w:spacing w:after="120"/>
      <w:outlineLvl w:val="7"/>
    </w:pPr>
    <w:rPr>
      <w:rFonts w:ascii="Arial" w:eastAsia="Times New Roman" w:hAnsi="Arial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EB60D1"/>
    <w:pPr>
      <w:keepNext/>
      <w:outlineLvl w:val="8"/>
    </w:pPr>
    <w:rPr>
      <w:rFonts w:ascii="Arial" w:eastAsia="Times New Roman" w:hAnsi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0D1"/>
    <w:rPr>
      <w:rFonts w:ascii="Times New Roman" w:eastAsia="Times New Roman" w:hAnsi="Times New Roman" w:cs="Tahoma"/>
      <w:color w:val="548DD4"/>
      <w:sz w:val="28"/>
      <w:szCs w:val="28"/>
      <w:lang w:eastAsia="en-US"/>
    </w:rPr>
  </w:style>
  <w:style w:type="character" w:customStyle="1" w:styleId="20">
    <w:name w:val="Заголовок 2 Знак"/>
    <w:link w:val="2"/>
    <w:rsid w:val="00EB60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B60D1"/>
    <w:rPr>
      <w:rFonts w:ascii="Times New Roman" w:eastAsia="Times New Roman" w:hAnsi="Times New Roman"/>
      <w:sz w:val="28"/>
      <w:szCs w:val="24"/>
      <w:u w:val="single"/>
    </w:rPr>
  </w:style>
  <w:style w:type="character" w:customStyle="1" w:styleId="40">
    <w:name w:val="Заголовок 4 Знак"/>
    <w:basedOn w:val="a0"/>
    <w:link w:val="4"/>
    <w:rsid w:val="00EB60D1"/>
    <w:rPr>
      <w:rFonts w:ascii="Arial" w:eastAsia="Times New Roman" w:hAnsi="Arial"/>
      <w:b/>
      <w:bCs/>
      <w:i/>
      <w:iCs/>
      <w:color w:val="808080"/>
      <w:sz w:val="22"/>
      <w:szCs w:val="24"/>
      <w:lang w:eastAsia="en-US"/>
    </w:rPr>
  </w:style>
  <w:style w:type="character" w:customStyle="1" w:styleId="50">
    <w:name w:val="Заголовок 5 Знак"/>
    <w:link w:val="5"/>
    <w:rsid w:val="00EB60D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B60D1"/>
    <w:rPr>
      <w:rFonts w:ascii="Arial" w:eastAsia="Times New Roman" w:hAnsi="Arial"/>
      <w:i/>
      <w:iCs/>
      <w:sz w:val="24"/>
      <w:szCs w:val="24"/>
      <w:lang w:eastAsia="en-US"/>
    </w:rPr>
  </w:style>
  <w:style w:type="character" w:customStyle="1" w:styleId="70">
    <w:name w:val="Заголовок 7 Знак"/>
    <w:basedOn w:val="a0"/>
    <w:link w:val="7"/>
    <w:rsid w:val="00EB60D1"/>
    <w:rPr>
      <w:rFonts w:ascii="Arial" w:eastAsia="Times New Roman" w:hAnsi="Arial"/>
      <w:i/>
      <w:iCs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EB60D1"/>
    <w:rPr>
      <w:rFonts w:ascii="Arial" w:eastAsia="Times New Roman" w:hAnsi="Arial"/>
      <w:i/>
      <w:iCs/>
      <w:sz w:val="24"/>
      <w:szCs w:val="24"/>
      <w:shd w:val="clear" w:color="auto" w:fill="FFFFFF"/>
      <w:lang w:eastAsia="en-US"/>
    </w:rPr>
  </w:style>
  <w:style w:type="character" w:customStyle="1" w:styleId="90">
    <w:name w:val="Заголовок 9 Знак"/>
    <w:basedOn w:val="a0"/>
    <w:link w:val="9"/>
    <w:rsid w:val="00EB60D1"/>
    <w:rPr>
      <w:rFonts w:ascii="Arial" w:eastAsia="Times New Roman" w:hAnsi="Arial"/>
      <w:b/>
      <w:bCs/>
      <w:i/>
      <w:iCs/>
      <w:sz w:val="24"/>
      <w:szCs w:val="24"/>
    </w:rPr>
  </w:style>
  <w:style w:type="paragraph" w:styleId="a3">
    <w:name w:val="caption"/>
    <w:basedOn w:val="a"/>
    <w:next w:val="a"/>
    <w:qFormat/>
    <w:rsid w:val="00EB60D1"/>
    <w:pPr>
      <w:spacing w:before="360"/>
    </w:pPr>
    <w:rPr>
      <w:rFonts w:ascii="Franklin Gothic Medium" w:eastAsia="Times New Roman" w:hAnsi="Franklin Gothic Medium"/>
      <w:color w:val="003366"/>
      <w:sz w:val="40"/>
      <w:szCs w:val="40"/>
      <w:lang w:eastAsia="en-US"/>
    </w:rPr>
  </w:style>
  <w:style w:type="character" w:styleId="a4">
    <w:name w:val="Strong"/>
    <w:uiPriority w:val="22"/>
    <w:qFormat/>
    <w:rsid w:val="00EB60D1"/>
    <w:rPr>
      <w:b/>
      <w:bCs/>
    </w:rPr>
  </w:style>
  <w:style w:type="character" w:styleId="a5">
    <w:name w:val="Emphasis"/>
    <w:aliases w:val="заголовок"/>
    <w:uiPriority w:val="20"/>
    <w:qFormat/>
    <w:rsid w:val="00EB60D1"/>
    <w:rPr>
      <w:b/>
      <w:bCs/>
      <w:i w:val="0"/>
      <w:iCs w:val="0"/>
    </w:rPr>
  </w:style>
  <w:style w:type="paragraph" w:styleId="a6">
    <w:name w:val="No Spacing"/>
    <w:uiPriority w:val="1"/>
    <w:qFormat/>
    <w:rsid w:val="00EB60D1"/>
    <w:rPr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EB60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TOC Heading"/>
    <w:basedOn w:val="1"/>
    <w:next w:val="a"/>
    <w:qFormat/>
    <w:rsid w:val="00EB60D1"/>
    <w:pPr>
      <w:keepLines/>
      <w:spacing w:before="480" w:line="276" w:lineRule="auto"/>
      <w:outlineLvl w:val="9"/>
    </w:pPr>
    <w:rPr>
      <w:rFonts w:ascii="Cambria" w:hAnsi="Cambria" w:cs="Times New Roman"/>
      <w:b/>
      <w:bCs/>
      <w:i/>
      <w:iCs/>
      <w:color w:val="365F91"/>
    </w:rPr>
  </w:style>
  <w:style w:type="paragraph" w:customStyle="1" w:styleId="11">
    <w:name w:val="Стиль1"/>
    <w:basedOn w:val="a"/>
    <w:qFormat/>
    <w:rsid w:val="00EB60D1"/>
    <w:pPr>
      <w:spacing w:line="360" w:lineRule="auto"/>
      <w:ind w:firstLine="284"/>
      <w:jc w:val="both"/>
    </w:pPr>
    <w:rPr>
      <w:szCs w:val="22"/>
      <w:lang w:eastAsia="en-US"/>
    </w:rPr>
  </w:style>
  <w:style w:type="paragraph" w:customStyle="1" w:styleId="a9">
    <w:name w:val="Второй заголовок"/>
    <w:basedOn w:val="1"/>
    <w:qFormat/>
    <w:rsid w:val="00EB60D1"/>
  </w:style>
  <w:style w:type="paragraph" w:customStyle="1" w:styleId="21">
    <w:name w:val="Стиль2"/>
    <w:basedOn w:val="2"/>
    <w:qFormat/>
    <w:rsid w:val="00EB60D1"/>
    <w:pPr>
      <w:keepNext/>
      <w:pBdr>
        <w:top w:val="single" w:sz="4" w:space="6" w:color="333399"/>
        <w:bottom w:val="single" w:sz="4" w:space="6" w:color="333399"/>
      </w:pBdr>
      <w:tabs>
        <w:tab w:val="left" w:pos="9360"/>
      </w:tabs>
      <w:spacing w:beforeAutospacing="0" w:after="60" w:afterAutospacing="0"/>
      <w:jc w:val="both"/>
    </w:pPr>
    <w:rPr>
      <w:rFonts w:ascii="Franklin Gothic Medium" w:hAnsi="Franklin Gothic Medium" w:cs="Arial"/>
      <w:iCs/>
      <w:caps/>
      <w:color w:val="808080"/>
      <w:szCs w:val="28"/>
      <w:lang w:eastAsia="en-US"/>
    </w:rPr>
  </w:style>
  <w:style w:type="character" w:customStyle="1" w:styleId="InternetLink">
    <w:name w:val="Internet Link"/>
    <w:basedOn w:val="a0"/>
    <w:uiPriority w:val="99"/>
    <w:rsid w:val="002F6526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2F6526"/>
    <w:pPr>
      <w:suppressAutoHyphens/>
      <w:spacing w:before="28" w:after="28" w:line="100" w:lineRule="atLeas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nenergo.gov.ru/activity/tehnologicheskoe-prisoedin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3135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Minenergo</Company>
  <LinksUpToDate>false</LinksUpToDate>
  <CharactersWithSpaces>20964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belovaav</dc:creator>
  <cp:lastModifiedBy>Kremenetsky</cp:lastModifiedBy>
  <cp:revision>4</cp:revision>
  <cp:lastPrinted>2013-09-30T17:04:00Z</cp:lastPrinted>
  <dcterms:created xsi:type="dcterms:W3CDTF">2013-10-08T13:55:00Z</dcterms:created>
  <dcterms:modified xsi:type="dcterms:W3CDTF">2013-10-08T15:04:00Z</dcterms:modified>
</cp:coreProperties>
</file>