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3B" w:rsidRPr="00A23C89" w:rsidRDefault="00896A3B" w:rsidP="00A23C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D58C4">
        <w:rPr>
          <w:noProof/>
          <w:sz w:val="24"/>
          <w:szCs w:val="24"/>
        </w:rPr>
        <w:drawing>
          <wp:inline distT="0" distB="0" distL="0" distR="0">
            <wp:extent cx="1809750" cy="704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C89">
        <w:rPr>
          <w:sz w:val="24"/>
          <w:szCs w:val="24"/>
        </w:rPr>
        <w:tab/>
      </w:r>
      <w:r w:rsidR="00A23C89">
        <w:rPr>
          <w:sz w:val="24"/>
          <w:szCs w:val="24"/>
        </w:rPr>
        <w:tab/>
      </w:r>
      <w:r w:rsidR="00A23C89" w:rsidRPr="00A23C89">
        <w:rPr>
          <w:rFonts w:ascii="Times New Roman" w:hAnsi="Times New Roman" w:cs="Times New Roman"/>
          <w:b/>
          <w:sz w:val="28"/>
          <w:szCs w:val="28"/>
        </w:rPr>
        <w:t>30.07.2014</w:t>
      </w:r>
    </w:p>
    <w:p w:rsidR="00896A3B" w:rsidRPr="00BD58C4" w:rsidRDefault="00B07849" w:rsidP="00A23C89">
      <w:pPr>
        <w:spacing w:before="120" w:after="120"/>
        <w:jc w:val="both"/>
        <w:rPr>
          <w:sz w:val="24"/>
          <w:szCs w:val="24"/>
        </w:rPr>
      </w:pPr>
      <w:r w:rsidRPr="00A23C89">
        <w:rPr>
          <w:rFonts w:ascii="Times New Roman" w:hAnsi="Times New Roman" w:cs="Times New Roman"/>
          <w:sz w:val="28"/>
          <w:szCs w:val="28"/>
        </w:rPr>
        <w:pict>
          <v:rect id="_x0000_i1025" style="width:467.75pt;height:4pt" o:hralign="center" o:hrstd="t" o:hrnoshade="t" o:hr="t" fillcolor="#76923c" stroked="f"/>
        </w:pict>
      </w:r>
    </w:p>
    <w:p w:rsidR="00BD6BE7" w:rsidRPr="00BD58C4" w:rsidRDefault="00BD6BE7" w:rsidP="00851DCA">
      <w:pPr>
        <w:spacing w:after="0"/>
        <w:ind w:firstLine="567"/>
        <w:jc w:val="right"/>
        <w:rPr>
          <w:rFonts w:ascii="Times New Roman" w:hAnsi="Times New Roman" w:cs="Times New Roman"/>
          <w:i/>
        </w:rPr>
      </w:pPr>
      <w:r w:rsidRPr="00BD58C4">
        <w:rPr>
          <w:rFonts w:ascii="Times New Roman" w:hAnsi="Times New Roman" w:cs="Times New Roman"/>
          <w:i/>
        </w:rPr>
        <w:t>Информационно-справочные материалы основываются</w:t>
      </w:r>
    </w:p>
    <w:p w:rsidR="00896A3B" w:rsidRPr="00BD58C4" w:rsidRDefault="00BD6BE7" w:rsidP="00851DCA">
      <w:pPr>
        <w:spacing w:after="0"/>
        <w:ind w:firstLine="567"/>
        <w:jc w:val="right"/>
        <w:rPr>
          <w:rFonts w:ascii="Times New Roman" w:hAnsi="Times New Roman" w:cs="Times New Roman"/>
          <w:i/>
        </w:rPr>
      </w:pPr>
      <w:r w:rsidRPr="00BD58C4">
        <w:rPr>
          <w:rFonts w:ascii="Times New Roman" w:hAnsi="Times New Roman" w:cs="Times New Roman"/>
          <w:i/>
        </w:rPr>
        <w:t>на отчете ООО «Ламайер Интернациональ Рус»</w:t>
      </w:r>
    </w:p>
    <w:p w:rsidR="00BD6BE7" w:rsidRPr="00BD58C4" w:rsidRDefault="00BD6BE7" w:rsidP="00BD6BE7">
      <w:pPr>
        <w:spacing w:before="120" w:after="120"/>
        <w:ind w:firstLine="567"/>
        <w:jc w:val="right"/>
        <w:rPr>
          <w:b/>
          <w:sz w:val="20"/>
          <w:szCs w:val="20"/>
        </w:rPr>
      </w:pPr>
    </w:p>
    <w:p w:rsidR="00CC47E4" w:rsidRPr="00BD58C4" w:rsidRDefault="00601AC9" w:rsidP="00601AC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b/>
          <w:color w:val="auto"/>
          <w:sz w:val="28"/>
          <w:szCs w:val="28"/>
        </w:rPr>
        <w:t>Разработка методологии альтернативной котельной</w:t>
      </w:r>
    </w:p>
    <w:p w:rsidR="00CC47E4" w:rsidRPr="00BD58C4" w:rsidRDefault="00CC47E4" w:rsidP="00CC47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1AC9" w:rsidRPr="00BD58C4" w:rsidRDefault="00CC47E4" w:rsidP="00601AC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>На протяжении 2013-2014 гг. экспертное сообщество в области энергетики и коммунального хозяйства ведет полемику о практическом применении ме</w:t>
      </w:r>
      <w:r w:rsidR="000E483F" w:rsidRPr="00BD58C4">
        <w:rPr>
          <w:rFonts w:ascii="Times New Roman" w:hAnsi="Times New Roman" w:cs="Times New Roman"/>
          <w:color w:val="auto"/>
          <w:sz w:val="28"/>
          <w:szCs w:val="28"/>
        </w:rPr>
        <w:t>тода «альтернативной котельной»</w:t>
      </w:r>
      <w:r w:rsidR="00E000EB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(далее</w:t>
      </w:r>
      <w:r w:rsidR="00746BC4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E000EB" w:rsidRPr="00BD58C4">
        <w:rPr>
          <w:rFonts w:ascii="Times New Roman" w:hAnsi="Times New Roman" w:cs="Times New Roman"/>
          <w:color w:val="auto"/>
          <w:sz w:val="28"/>
          <w:szCs w:val="28"/>
        </w:rPr>
        <w:t>АК)</w:t>
      </w:r>
      <w:r w:rsidR="000E483F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для целей тарифообразования в теплоснабжении в </w:t>
      </w:r>
      <w:r w:rsidR="003F1794" w:rsidRPr="00BD58C4">
        <w:rPr>
          <w:rFonts w:ascii="Times New Roman" w:hAnsi="Times New Roman" w:cs="Times New Roman"/>
          <w:color w:val="auto"/>
          <w:sz w:val="28"/>
          <w:szCs w:val="28"/>
        </w:rPr>
        <w:t>масштабах Российской Федерации.</w:t>
      </w:r>
    </w:p>
    <w:p w:rsidR="003F1794" w:rsidRPr="00BD58C4" w:rsidRDefault="003F1794" w:rsidP="003F1794">
      <w:pPr>
        <w:pStyle w:val="aa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58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Наблюдательный совет НП «Совет рынка» поручил исполнительному аппарату Партнерства организовать выполнение работ (с привлечением сторонних консультантов) по определению удельных затрат на строительство и эксплуатацию АК и коэффициентов, учитывающих их региональные особенности.</w:t>
      </w:r>
    </w:p>
    <w:p w:rsidR="003F1794" w:rsidRPr="00BD58C4" w:rsidRDefault="003F1794" w:rsidP="003F1794">
      <w:pPr>
        <w:pStyle w:val="aa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58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НП «Совет рынка» были проведены регламентированные процедуры по выбору контрагента. В качестве консультанта для выполнения работ выбрана компания ООО «Ламайер Интернациональ Рус», с которой заключен договор, включающий Техническое Задани</w:t>
      </w:r>
      <w:r w:rsidR="00D925ED" w:rsidRPr="00BD58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D58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оказание услуг по определению удельных затрат на строительство и эксплуатацию альтернативной котельной и коэффициентов, учитывающих их региональные особенности (далее – Техническое Задание)</w:t>
      </w:r>
      <w:r w:rsidR="000D3F9A" w:rsidRPr="00BD58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утвержденное Наблюдательным советом НП «Совет рынка»</w:t>
      </w:r>
      <w:r w:rsidR="00523261" w:rsidRPr="00BD58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D3F9A" w:rsidRPr="00BD58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F1794" w:rsidRPr="00BD58C4" w:rsidRDefault="003F1794" w:rsidP="003F1794">
      <w:pPr>
        <w:pStyle w:val="aa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58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марте – июне 2014 года на площадке «Совета рынка» при участии Членов Наблюдательного совета Партнерства и их представителей, а также представителей федеральных органов исполнительной власти, состоялись обсуждения/согласование материалов по определению удельных затрат на строительство АК, которые были представлены ООО «Ламайер Интернациональ Рус».</w:t>
      </w:r>
    </w:p>
    <w:p w:rsidR="00896A3B" w:rsidRPr="00BD58C4" w:rsidRDefault="00CC47E4" w:rsidP="0054064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Основным результатом работы </w:t>
      </w:r>
      <w:r w:rsidR="003F1794" w:rsidRPr="00BD58C4">
        <w:rPr>
          <w:rFonts w:ascii="Times New Roman" w:hAnsi="Times New Roman" w:cs="Times New Roman"/>
          <w:color w:val="auto"/>
          <w:sz w:val="28"/>
          <w:szCs w:val="28"/>
        </w:rPr>
        <w:t>стала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модель расчета, позволяющая при принятых в соответствии с Техническим Заданием исходных условиях, определить цену тепловой энергии у конечного потребителя для российских городов с населением более 50 тысяч человек, как правило, имеющих системы централизованного теплоснабжения</w:t>
      </w:r>
      <w:r w:rsidR="0089617D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(без учета</w:t>
      </w:r>
      <w:r w:rsidR="00523261" w:rsidRPr="00BD58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9617D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в т.ч.</w:t>
      </w:r>
      <w:r w:rsidR="00523261" w:rsidRPr="00BD58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9617D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неплатежей, архитектурных требований, дифференциации цены участка земли по районам города и т.д.)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D3F9A" w:rsidRPr="00BD58C4" w:rsidRDefault="0089617D" w:rsidP="000D3F9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>Необходимо отметить, что р</w:t>
      </w:r>
      <w:r w:rsidR="000D3F9A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езультаты расчетов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на основе разработанной модели </w:t>
      </w:r>
      <w:r w:rsidR="000D3F9A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могут служить основой для определения тарифов на теплоснабжение, но тарифами не являются, </w:t>
      </w:r>
      <w:r w:rsidR="00A23C89" w:rsidRPr="00A23C89">
        <w:rPr>
          <w:rFonts w:ascii="Times New Roman" w:hAnsi="Times New Roman" w:cs="Times New Roman"/>
          <w:color w:val="auto"/>
          <w:sz w:val="28"/>
          <w:szCs w:val="28"/>
        </w:rPr>
        <w:t>так как</w:t>
      </w:r>
      <w:r w:rsidR="000D3F9A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цель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D3F9A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является</w:t>
      </w:r>
      <w:r w:rsidR="000D3F9A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определение удельных затрат на строительство и эксплуатацию альтернативной котельной и коэффициентов, учитывающих их региональные особенности.</w:t>
      </w:r>
    </w:p>
    <w:p w:rsidR="00540648" w:rsidRPr="00BD58C4" w:rsidRDefault="00540648" w:rsidP="0054064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2D61" w:rsidRPr="00BD58C4" w:rsidRDefault="00F52D61" w:rsidP="00F52D61">
      <w:pPr>
        <w:shd w:val="clear" w:color="auto" w:fill="FFFFFF"/>
        <w:spacing w:before="120" w:after="120"/>
        <w:jc w:val="center"/>
        <w:rPr>
          <w:b/>
          <w:bCs/>
        </w:rPr>
      </w:pPr>
      <w:r w:rsidRPr="00BD58C4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F52D61" w:rsidRPr="00BD58C4" w:rsidRDefault="00F52D61" w:rsidP="00AB0F6F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</w:p>
    <w:p w:rsidR="001E3C4E" w:rsidRPr="00BD58C4" w:rsidRDefault="001E3C4E" w:rsidP="00523261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  <w:r w:rsidRPr="00BD58C4">
        <w:rPr>
          <w:rFonts w:ascii="Times New Roman" w:hAnsi="Times New Roman" w:cs="Times New Roman"/>
          <w:sz w:val="28"/>
          <w:szCs w:val="28"/>
        </w:rPr>
        <w:t xml:space="preserve">Отраженным в Техническом Задании основополагающим принципом для сбора исходной информации, моделирования и проведения расчетов являлся принцип строительства АК </w:t>
      </w:r>
      <w:r w:rsidR="00523261" w:rsidRPr="00BD58C4">
        <w:rPr>
          <w:rFonts w:ascii="Times New Roman" w:hAnsi="Times New Roman" w:cs="Times New Roman"/>
          <w:sz w:val="28"/>
          <w:szCs w:val="28"/>
        </w:rPr>
        <w:t xml:space="preserve">- </w:t>
      </w:r>
      <w:r w:rsidRPr="00BD58C4">
        <w:rPr>
          <w:rFonts w:ascii="Times New Roman" w:hAnsi="Times New Roman" w:cs="Times New Roman"/>
          <w:sz w:val="28"/>
          <w:szCs w:val="28"/>
        </w:rPr>
        <w:t>«greenfield»</w:t>
      </w:r>
      <w:r w:rsidR="003F1794" w:rsidRPr="00BD58C4">
        <w:rPr>
          <w:rFonts w:ascii="Times New Roman" w:hAnsi="Times New Roman" w:cs="Times New Roman"/>
          <w:sz w:val="28"/>
          <w:szCs w:val="28"/>
        </w:rPr>
        <w:t xml:space="preserve"> («проект с нуля»)</w:t>
      </w:r>
      <w:r w:rsidRPr="00BD58C4">
        <w:rPr>
          <w:rFonts w:ascii="Times New Roman" w:hAnsi="Times New Roman" w:cs="Times New Roman"/>
          <w:sz w:val="28"/>
          <w:szCs w:val="28"/>
        </w:rPr>
        <w:t xml:space="preserve">. </w:t>
      </w:r>
      <w:r w:rsidR="00523261" w:rsidRPr="00BD58C4">
        <w:rPr>
          <w:rFonts w:ascii="Times New Roman" w:hAnsi="Times New Roman" w:cs="Times New Roman"/>
          <w:sz w:val="28"/>
          <w:szCs w:val="28"/>
        </w:rPr>
        <w:t>Р</w:t>
      </w:r>
      <w:r w:rsidRPr="00BD58C4">
        <w:rPr>
          <w:rFonts w:ascii="Times New Roman" w:hAnsi="Times New Roman" w:cs="Times New Roman"/>
          <w:sz w:val="28"/>
          <w:szCs w:val="28"/>
        </w:rPr>
        <w:t xml:space="preserve">ассматриваемая территория </w:t>
      </w:r>
      <w:r w:rsidR="00523261" w:rsidRPr="00BD58C4"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r w:rsidRPr="00BD58C4">
        <w:rPr>
          <w:rFonts w:ascii="Times New Roman" w:hAnsi="Times New Roman" w:cs="Times New Roman"/>
          <w:sz w:val="28"/>
          <w:szCs w:val="28"/>
        </w:rPr>
        <w:t>под жилой квартал и АК для его отопления, уже была предназначена для целей такой застройки гор</w:t>
      </w:r>
      <w:r w:rsidR="00A23C89">
        <w:rPr>
          <w:rFonts w:ascii="Times New Roman" w:hAnsi="Times New Roman" w:cs="Times New Roman"/>
          <w:sz w:val="28"/>
          <w:szCs w:val="28"/>
        </w:rPr>
        <w:t>одским планом развития, то есть</w:t>
      </w:r>
      <w:r w:rsidRPr="00BD58C4">
        <w:rPr>
          <w:rFonts w:ascii="Times New Roman" w:hAnsi="Times New Roman" w:cs="Times New Roman"/>
          <w:sz w:val="28"/>
          <w:szCs w:val="28"/>
        </w:rPr>
        <w:t xml:space="preserve"> </w:t>
      </w:r>
      <w:r w:rsidR="0089617D" w:rsidRPr="00BD58C4">
        <w:rPr>
          <w:rFonts w:ascii="Times New Roman" w:hAnsi="Times New Roman" w:cs="Times New Roman"/>
          <w:sz w:val="28"/>
          <w:szCs w:val="28"/>
        </w:rPr>
        <w:t>необходимые</w:t>
      </w:r>
      <w:r w:rsidRPr="00BD58C4">
        <w:rPr>
          <w:rFonts w:ascii="Times New Roman" w:hAnsi="Times New Roman" w:cs="Times New Roman"/>
          <w:sz w:val="28"/>
          <w:szCs w:val="28"/>
        </w:rPr>
        <w:t xml:space="preserve"> коммуникации имеются в наличии в разумной доступности.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Капитальные затраты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в предлагаемой работе учитывались на всех этапах: от прихода инвестора на стройплощадку, создания им организации-застройщика с соответствующим набором специалистов-профессионалов, через подготовку необходимой проектной, технической и разрешительной документации, выбор организаций для поставки котельной на условиях «под ключ» и производство площадочных работ (организация фундамента, складов и резервуаров, дымовой трубы и т.д.), планирование, проектирование, согласование строительства комплекса котельной, включая технические присоединения по газу, электричеству и воде, поставку оборудования котельной и соответствующей размерам квартала теплосети, строительные, монтажные и пуско-наладочные работы на комплексе котельной и тепловой сети до сдачи готового объекта в эксплуатацию.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Подход к определению капитальных затрат связан с подсчетом стоимости строительства собственно котельной установленной мощностью 10 Гкал/ч со всеми вышеперечисленными сопутствующими расходами, при этом предусмотрены необходимые мероприятия по резервированию мощности, резервированию топлива, резервированию подачи электроэнергии.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>В течение последних 10-15 лет в России сформировался развитой рынок блочно-модульных котельных (БМК) на газе и мазуте</w:t>
      </w:r>
      <w:r w:rsidR="00D46C00" w:rsidRPr="00BD58C4">
        <w:rPr>
          <w:rFonts w:ascii="Times New Roman" w:hAnsi="Times New Roman" w:cs="Times New Roman"/>
          <w:color w:val="auto"/>
          <w:sz w:val="28"/>
          <w:szCs w:val="28"/>
        </w:rPr>
        <w:t>, которые выбраны за основу при проведении расчетов</w:t>
      </w:r>
      <w:r w:rsidR="006242A8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6C00" w:rsidRPr="00BD58C4">
        <w:rPr>
          <w:rFonts w:ascii="Times New Roman" w:hAnsi="Times New Roman" w:cs="Times New Roman"/>
          <w:color w:val="auto"/>
          <w:sz w:val="28"/>
          <w:szCs w:val="28"/>
        </w:rPr>
        <w:t>Консультантом</w:t>
      </w:r>
      <w:r w:rsidR="006242A8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проведен опрос подрядчиков о стоимости поставки БМК.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42A8" w:rsidRPr="00BD58C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>ри этом поставк</w:t>
      </w:r>
      <w:r w:rsidR="006242A8" w:rsidRPr="00BD58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БМК</w:t>
      </w:r>
      <w:r w:rsidR="006242A8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по условиям опросного листа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6928" w:rsidRPr="00BD58C4">
        <w:rPr>
          <w:rFonts w:ascii="Times New Roman" w:hAnsi="Times New Roman" w:cs="Times New Roman"/>
          <w:color w:val="auto"/>
          <w:sz w:val="28"/>
          <w:szCs w:val="28"/>
        </w:rPr>
        <w:t>рассматрива</w:t>
      </w:r>
      <w:r w:rsidR="00D46C00" w:rsidRPr="00BD58C4">
        <w:rPr>
          <w:rFonts w:ascii="Times New Roman" w:hAnsi="Times New Roman" w:cs="Times New Roman"/>
          <w:color w:val="auto"/>
          <w:sz w:val="28"/>
          <w:szCs w:val="28"/>
        </w:rPr>
        <w:t>лась</w:t>
      </w:r>
      <w:r w:rsidR="006242A8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на условиях «под ключ» </w:t>
      </w:r>
      <w:r w:rsidR="00D46C00" w:rsidRPr="00BD58C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>от изготовления и транспортировки до монтажа, пуско-наладки и сдачи в эксплуатацию</w:t>
      </w:r>
      <w:r w:rsidR="00D46C00" w:rsidRPr="00BD58C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46C00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и,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</w:t>
      </w:r>
      <w:r w:rsidR="00D46C00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включает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и последующие услуги по техническому обслуживанию поставленного объекта. </w:t>
      </w:r>
      <w:r w:rsidR="00C16928" w:rsidRPr="00BD58C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>ри выдаче опросных листов и в ходе анализа полученных технико-коммерческих предложений</w:t>
      </w:r>
      <w:r w:rsidR="00D46C00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(ТКП)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6928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отслеживалось соблюдение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потенциальными поставщиками </w:t>
      </w:r>
      <w:r w:rsidR="00C16928" w:rsidRPr="00BD58C4">
        <w:rPr>
          <w:rFonts w:ascii="Times New Roman" w:hAnsi="Times New Roman" w:cs="Times New Roman"/>
          <w:color w:val="auto"/>
          <w:sz w:val="28"/>
          <w:szCs w:val="28"/>
        </w:rPr>
        <w:t>требований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Технического Задания и </w:t>
      </w:r>
      <w:r w:rsidR="00C16928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вытекающих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из этого </w:t>
      </w:r>
      <w:r w:rsidR="00C16928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>предпосыл</w:t>
      </w:r>
      <w:r w:rsidR="00C16928" w:rsidRPr="00BD58C4">
        <w:rPr>
          <w:rFonts w:ascii="Times New Roman" w:hAnsi="Times New Roman" w:cs="Times New Roman"/>
          <w:color w:val="auto"/>
          <w:sz w:val="28"/>
          <w:szCs w:val="28"/>
        </w:rPr>
        <w:t>ок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производства и поставки котельной. Стоимость предызолированных труб теплосети также определена на сформировавшемся российском рынке. </w:t>
      </w:r>
    </w:p>
    <w:p w:rsidR="001E3C4E" w:rsidRPr="00BD58C4" w:rsidRDefault="001E3C4E" w:rsidP="00AB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C4">
        <w:rPr>
          <w:rFonts w:ascii="Times New Roman" w:hAnsi="Times New Roman" w:cs="Times New Roman"/>
          <w:sz w:val="28"/>
          <w:szCs w:val="28"/>
        </w:rPr>
        <w:t>Консультант</w:t>
      </w:r>
      <w:r w:rsidR="00C16928" w:rsidRPr="00BD58C4">
        <w:rPr>
          <w:rFonts w:ascii="Times New Roman" w:hAnsi="Times New Roman" w:cs="Times New Roman"/>
          <w:sz w:val="28"/>
          <w:szCs w:val="28"/>
        </w:rPr>
        <w:t>ом</w:t>
      </w:r>
      <w:r w:rsidRPr="00BD58C4">
        <w:rPr>
          <w:rFonts w:ascii="Times New Roman" w:hAnsi="Times New Roman" w:cs="Times New Roman"/>
          <w:sz w:val="28"/>
          <w:szCs w:val="28"/>
        </w:rPr>
        <w:t xml:space="preserve"> </w:t>
      </w:r>
      <w:r w:rsidR="00C16928" w:rsidRPr="00BD58C4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BD58C4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16928" w:rsidRPr="00BD58C4">
        <w:rPr>
          <w:rFonts w:ascii="Times New Roman" w:hAnsi="Times New Roman" w:cs="Times New Roman"/>
          <w:sz w:val="28"/>
          <w:szCs w:val="28"/>
        </w:rPr>
        <w:t xml:space="preserve">полученных технико-коммерческих </w:t>
      </w:r>
      <w:r w:rsidRPr="00BD58C4">
        <w:rPr>
          <w:rFonts w:ascii="Times New Roman" w:hAnsi="Times New Roman" w:cs="Times New Roman"/>
          <w:sz w:val="28"/>
          <w:szCs w:val="28"/>
        </w:rPr>
        <w:t>предложений</w:t>
      </w:r>
      <w:r w:rsidR="00C16928" w:rsidRPr="00BD58C4">
        <w:rPr>
          <w:rFonts w:ascii="Times New Roman" w:hAnsi="Times New Roman" w:cs="Times New Roman"/>
          <w:sz w:val="28"/>
          <w:szCs w:val="28"/>
        </w:rPr>
        <w:t>, которые были</w:t>
      </w:r>
      <w:r w:rsidRPr="00BD58C4">
        <w:rPr>
          <w:rFonts w:ascii="Times New Roman" w:hAnsi="Times New Roman" w:cs="Times New Roman"/>
          <w:sz w:val="28"/>
          <w:szCs w:val="28"/>
        </w:rPr>
        <w:t xml:space="preserve"> </w:t>
      </w:r>
      <w:r w:rsidR="00C16928" w:rsidRPr="00BD58C4">
        <w:rPr>
          <w:rFonts w:ascii="Times New Roman" w:hAnsi="Times New Roman" w:cs="Times New Roman"/>
          <w:sz w:val="28"/>
          <w:szCs w:val="28"/>
        </w:rPr>
        <w:t xml:space="preserve">дополнены </w:t>
      </w:r>
      <w:r w:rsidRPr="00BD58C4">
        <w:rPr>
          <w:rFonts w:ascii="Times New Roman" w:hAnsi="Times New Roman" w:cs="Times New Roman"/>
          <w:sz w:val="28"/>
          <w:szCs w:val="28"/>
        </w:rPr>
        <w:t xml:space="preserve">недостающими компонентами, а также компонентами, не вошедшими в ТКП, но дополняющими комплекс </w:t>
      </w:r>
      <w:r w:rsidRPr="00BD58C4">
        <w:rPr>
          <w:rFonts w:ascii="Times New Roman" w:hAnsi="Times New Roman" w:cs="Times New Roman"/>
          <w:sz w:val="28"/>
          <w:szCs w:val="28"/>
        </w:rPr>
        <w:lastRenderedPageBreak/>
        <w:t>котельной (фундаменты, дымовая труба, хранилище резервного топлива и т.п.). Географический охват территории России обеспечен наличием у запрошенных поставщиков разветвленной сети дочерних компаний по регионам страны, где даны также референции по подобным поставкам от западных границ РФ до Дальнег</w:t>
      </w:r>
      <w:r w:rsidR="000D7D7C" w:rsidRPr="00BD58C4">
        <w:rPr>
          <w:rFonts w:ascii="Times New Roman" w:hAnsi="Times New Roman" w:cs="Times New Roman"/>
          <w:sz w:val="28"/>
          <w:szCs w:val="28"/>
        </w:rPr>
        <w:t>о Востока.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Угольная котельная принята в стационарном варианте строительства. Так как котлы необходимой мощности на угле для предлагаемой конфигурации АК поставляются в разобранном состоянии, это лишает смысла идею блочно-модульного исполнения. Наличие автоматизированной топливоподачи (а не подачи угля вручную), золошлакоудаления, системы подготовки топлива также несовместимо с блочно-модульным исполнением. В связи с этим капитальные затраты на угольную котельную составлены на основании проектной сметы.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>Техническое обслуживание котельной определено по данным организаций, предоставляющих соответствующие услуги, т</w:t>
      </w:r>
      <w:r w:rsidR="00851DCA" w:rsidRPr="00BD58C4">
        <w:rPr>
          <w:rFonts w:ascii="Times New Roman" w:hAnsi="Times New Roman" w:cs="Times New Roman"/>
          <w:color w:val="auto"/>
          <w:sz w:val="28"/>
          <w:szCs w:val="28"/>
        </w:rPr>
        <w:t>о есть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тех же организаций, поставляющих котельную «под ключ».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Все работы при моделировании прокладки теплотрасс, а также при определении стоимости технических присоединений и т.п. оценивались по действующим российским нормативам. Оценивались диаметры и длины теплотрасс для восемнадцати- и пятиэтажной застройки. Отдельно рассчитаны капитальные затраты для условий прокладки в вечной мерзлоте (вариант – на опорах, в этом случае капзатраты на теплосеть более чем утраиваются).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Рассчитаны капитальные затраты на организацию теплосети для 18-ти и пятиэтажного квартала застройки. В этом случае изменяются длины и диаметры сетевых трубопроводов, мощность сетевых насосов, возрастают тепловые потери.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Оценка стоимости строительства и расходов на содержание и эксплуатацию АК произведена в ценах первого квартала 2014 года (либо, где это возможно, на основании технико-коммерческих предложений поставщиков) с учетом российской нормативной документации и отраслевых стандартов, действующих на 01.02.2014.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Особое внимание было уделено определению значений </w:t>
      </w:r>
      <w:r w:rsidRPr="00BD58C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КИУМ (коэффициентов использования установленной мощности)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, рассчитанных в месте подсоединения к индивидуальному тепловому пункту (ИТП) в отапливаемом здании. </w:t>
      </w:r>
      <w:r w:rsidR="003F5855" w:rsidRPr="00BD58C4">
        <w:rPr>
          <w:rFonts w:ascii="Times New Roman" w:hAnsi="Times New Roman" w:cs="Times New Roman"/>
          <w:color w:val="auto"/>
          <w:sz w:val="28"/>
          <w:szCs w:val="28"/>
        </w:rPr>
        <w:t>Рассматривались следующие компоненты КИУМ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E3C4E" w:rsidRPr="00BD58C4" w:rsidRDefault="001E3C4E" w:rsidP="0087087A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климатическая составляющая; </w:t>
      </w:r>
    </w:p>
    <w:p w:rsidR="001E3C4E" w:rsidRPr="00BD58C4" w:rsidRDefault="001E3C4E" w:rsidP="0087087A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резервирование тепловой мощности; </w:t>
      </w:r>
    </w:p>
    <w:p w:rsidR="001E3C4E" w:rsidRPr="00BD58C4" w:rsidRDefault="001E3C4E" w:rsidP="0087087A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собственные нужды АК и потери в тепловых сетях; </w:t>
      </w:r>
    </w:p>
    <w:p w:rsidR="001E3C4E" w:rsidRPr="00BD58C4" w:rsidRDefault="001E3C4E" w:rsidP="0087087A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коэффициент, учитывающий ремонтные простои.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1DCA" w:rsidRPr="00BD58C4" w:rsidRDefault="001E3C4E" w:rsidP="00851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C4">
        <w:rPr>
          <w:rFonts w:ascii="Times New Roman" w:hAnsi="Times New Roman" w:cs="Times New Roman"/>
          <w:sz w:val="28"/>
          <w:szCs w:val="28"/>
        </w:rPr>
        <w:t xml:space="preserve">В </w:t>
      </w:r>
      <w:r w:rsidR="00851DCA" w:rsidRPr="00BD58C4">
        <w:rPr>
          <w:rFonts w:ascii="Times New Roman" w:hAnsi="Times New Roman" w:cs="Times New Roman"/>
          <w:sz w:val="28"/>
          <w:szCs w:val="28"/>
        </w:rPr>
        <w:t>о</w:t>
      </w:r>
      <w:r w:rsidRPr="00BD58C4">
        <w:rPr>
          <w:rFonts w:ascii="Times New Roman" w:hAnsi="Times New Roman" w:cs="Times New Roman"/>
          <w:sz w:val="28"/>
          <w:szCs w:val="28"/>
        </w:rPr>
        <w:t>тчете приведены рассчитанные значения КИУМ для 116 городов России</w:t>
      </w:r>
      <w:r w:rsidR="00A23C89">
        <w:rPr>
          <w:rFonts w:ascii="Times New Roman" w:hAnsi="Times New Roman" w:cs="Times New Roman"/>
          <w:sz w:val="28"/>
          <w:szCs w:val="28"/>
        </w:rPr>
        <w:t>,</w:t>
      </w:r>
      <w:r w:rsidRPr="00BD58C4">
        <w:rPr>
          <w:rFonts w:ascii="Times New Roman" w:hAnsi="Times New Roman" w:cs="Times New Roman"/>
          <w:sz w:val="28"/>
          <w:szCs w:val="28"/>
        </w:rPr>
        <w:t xml:space="preserve"> по которым имеются официальные базы климатических данных. Фактический КИУМ не оценивался </w:t>
      </w:r>
      <w:r w:rsidR="003F5855" w:rsidRPr="00BD58C4">
        <w:rPr>
          <w:rFonts w:ascii="Times New Roman" w:hAnsi="Times New Roman" w:cs="Times New Roman"/>
          <w:sz w:val="28"/>
          <w:szCs w:val="28"/>
        </w:rPr>
        <w:t>в силу отсутствия статистических данных</w:t>
      </w:r>
      <w:r w:rsidRPr="00BD58C4">
        <w:rPr>
          <w:rFonts w:ascii="Times New Roman" w:hAnsi="Times New Roman" w:cs="Times New Roman"/>
          <w:sz w:val="28"/>
          <w:szCs w:val="28"/>
        </w:rPr>
        <w:t>.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Следует подчеркнуть, что </w:t>
      </w:r>
      <w:r w:rsidR="00851DCA" w:rsidRPr="00BD58C4">
        <w:rPr>
          <w:rFonts w:ascii="Times New Roman" w:hAnsi="Times New Roman" w:cs="Times New Roman"/>
          <w:color w:val="auto"/>
          <w:sz w:val="28"/>
          <w:szCs w:val="28"/>
        </w:rPr>
        <w:t>оценивались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физические (технические) и экономические факторы, влияющие на цену тепла для конечного потребителя. При проведении расчетов сделан р</w:t>
      </w:r>
      <w:r w:rsidR="00851DCA" w:rsidRPr="00BD58C4">
        <w:rPr>
          <w:rFonts w:ascii="Times New Roman" w:hAnsi="Times New Roman" w:cs="Times New Roman"/>
          <w:color w:val="auto"/>
          <w:sz w:val="28"/>
          <w:szCs w:val="28"/>
        </w:rPr>
        <w:t>яд допущений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. Например, не учитывался такой социально-экономический фактор, как недосбор платежей от конечных потребителей. Далее, следует упомянуть, что в модели процедура расчетов с потребителями не дает значительного увеличения трудозатрат (8 потребителей = 8 платежных документов в месяц), на практике эта статья при наличии значительного количества потребителей может стать существенной, особенно при включении расходов на дополнительные мероприятия повышающие собираемость. Также на экономику </w:t>
      </w:r>
      <w:r w:rsidR="00851DCA" w:rsidRPr="00BD58C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>роекта несколько влияет допущение об одномоментности строительс</w:t>
      </w:r>
      <w:r w:rsidR="00851DCA" w:rsidRPr="00BD58C4">
        <w:rPr>
          <w:rFonts w:ascii="Times New Roman" w:hAnsi="Times New Roman" w:cs="Times New Roman"/>
          <w:color w:val="auto"/>
          <w:sz w:val="28"/>
          <w:szCs w:val="28"/>
        </w:rPr>
        <w:t>тва и заселения жилого квартала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. Учитывались замечания специалистов – будущих пользователей результатов работы, по ходу работы с марта по июнь 2014 года, проведены 4 совещания с представлением промежуточных результатов для заинтересованных организаций. </w:t>
      </w:r>
    </w:p>
    <w:p w:rsidR="001E3C4E" w:rsidRPr="00BD58C4" w:rsidRDefault="00CA569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>Кроме того, в отчете</w:t>
      </w:r>
      <w:r w:rsidR="001E3C4E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дан подход к определению </w:t>
      </w:r>
      <w:r w:rsidR="001E3C4E" w:rsidRPr="00BD58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операционных затрат </w:t>
      </w:r>
      <w:r w:rsidR="001E3C4E" w:rsidRPr="00BD58C4">
        <w:rPr>
          <w:rFonts w:ascii="Times New Roman" w:hAnsi="Times New Roman" w:cs="Times New Roman"/>
          <w:color w:val="auto"/>
          <w:sz w:val="28"/>
          <w:szCs w:val="28"/>
        </w:rPr>
        <w:t>и, там</w:t>
      </w:r>
      <w:r w:rsidRPr="00BD58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E3C4E"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 где это возможно, приведены их значения по конкретным статьям расходов, а именно: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затраты на топливо;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электроэнергия на собственные нужды;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затраты на водоподготовку;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затраты на эксплуатацию и ремонт;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затраты на содержание персонала и страховые взносы;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возврат инвестированного капитала;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налог на имущество;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золошлакоудаление (угольная концепция); </w:t>
      </w:r>
    </w:p>
    <w:p w:rsidR="001E3C4E" w:rsidRPr="00BD58C4" w:rsidRDefault="001E3C4E" w:rsidP="00851DC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прочие расходы. </w:t>
      </w: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3C4E" w:rsidRPr="00BD58C4" w:rsidRDefault="001E3C4E" w:rsidP="00AB0F6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58C4">
        <w:rPr>
          <w:rFonts w:ascii="Times New Roman" w:hAnsi="Times New Roman" w:cs="Times New Roman"/>
          <w:color w:val="auto"/>
          <w:sz w:val="28"/>
          <w:szCs w:val="28"/>
        </w:rPr>
        <w:t xml:space="preserve">На базе собранных и обобщенных данных по стоимости капитального строительства и операционным затратам была разработана технико-экономическая модель. Данная модель позволяет определить стоимость 1 Гкал тепловой энергии для конечного потребителя по городам РФ с населением более 50 тыс. человек. </w:t>
      </w:r>
    </w:p>
    <w:p w:rsidR="00172A41" w:rsidRPr="00BD58C4" w:rsidRDefault="00172A41" w:rsidP="00C8268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A41">
        <w:rPr>
          <w:rFonts w:ascii="Times New Roman" w:hAnsi="Times New Roman" w:cs="Times New Roman"/>
          <w:color w:val="auto"/>
          <w:sz w:val="28"/>
          <w:szCs w:val="28"/>
        </w:rPr>
        <w:t>По итогам заседания Наблюдательного совета НП «Совет рынка», состоявшегося 29 июля 2014 года, результаты работ по определению удельных затрат на строительство и эксплуатацию альтернативной котельной и коэффициентов, учитывающих их региональные особенности, приняты к сведению и будут направлены для рассмотрения в Правительственную комиссию по вопр</w:t>
      </w:r>
      <w:r w:rsidR="00A23C89">
        <w:rPr>
          <w:rFonts w:ascii="Times New Roman" w:hAnsi="Times New Roman" w:cs="Times New Roman"/>
          <w:color w:val="auto"/>
          <w:sz w:val="28"/>
          <w:szCs w:val="28"/>
        </w:rPr>
        <w:t>осам развития электроэнергетики. Т</w:t>
      </w:r>
      <w:r w:rsidRPr="00172A41">
        <w:rPr>
          <w:rFonts w:ascii="Times New Roman" w:hAnsi="Times New Roman" w:cs="Times New Roman"/>
          <w:color w:val="auto"/>
          <w:sz w:val="28"/>
          <w:szCs w:val="28"/>
        </w:rPr>
        <w:t>акже планируется проведение совещания по обсуждению вопросов Членов Наблюдательного совета НП «Совет рынка» и представителей ФОИВ по данной работе.</w:t>
      </w:r>
    </w:p>
    <w:sectPr w:rsidR="00172A41" w:rsidRPr="00BD58C4" w:rsidSect="00172A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0A" w:rsidRDefault="00DB640A" w:rsidP="00A12874">
      <w:pPr>
        <w:spacing w:after="0" w:line="240" w:lineRule="auto"/>
      </w:pPr>
      <w:r>
        <w:separator/>
      </w:r>
    </w:p>
  </w:endnote>
  <w:endnote w:type="continuationSeparator" w:id="0">
    <w:p w:rsidR="00DB640A" w:rsidRDefault="00DB640A" w:rsidP="00A1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0A" w:rsidRDefault="00DB640A" w:rsidP="00A12874">
      <w:pPr>
        <w:spacing w:after="0" w:line="240" w:lineRule="auto"/>
      </w:pPr>
      <w:r>
        <w:separator/>
      </w:r>
    </w:p>
  </w:footnote>
  <w:footnote w:type="continuationSeparator" w:id="0">
    <w:p w:rsidR="00DB640A" w:rsidRDefault="00DB640A" w:rsidP="00A1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6FD"/>
    <w:multiLevelType w:val="multilevel"/>
    <w:tmpl w:val="8A5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62CD8"/>
    <w:multiLevelType w:val="hybridMultilevel"/>
    <w:tmpl w:val="3AEE29D6"/>
    <w:lvl w:ilvl="0" w:tplc="ED4639EE">
      <w:numFmt w:val="bullet"/>
      <w:lvlText w:val=""/>
      <w:lvlJc w:val="left"/>
      <w:pPr>
        <w:ind w:left="14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150889"/>
    <w:multiLevelType w:val="hybridMultilevel"/>
    <w:tmpl w:val="4A749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B04867"/>
    <w:multiLevelType w:val="multilevel"/>
    <w:tmpl w:val="B65E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A08E5"/>
    <w:multiLevelType w:val="multilevel"/>
    <w:tmpl w:val="CD1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A52F9"/>
    <w:multiLevelType w:val="hybridMultilevel"/>
    <w:tmpl w:val="A9EE8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E250AE"/>
    <w:multiLevelType w:val="multilevel"/>
    <w:tmpl w:val="B044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E4821"/>
    <w:multiLevelType w:val="hybridMultilevel"/>
    <w:tmpl w:val="E47C2D1E"/>
    <w:lvl w:ilvl="0" w:tplc="ED4639EE">
      <w:numFmt w:val="bullet"/>
      <w:lvlText w:val="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6FC62E2"/>
    <w:multiLevelType w:val="multilevel"/>
    <w:tmpl w:val="8AD4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C2A54"/>
    <w:multiLevelType w:val="multilevel"/>
    <w:tmpl w:val="E8F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73D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91B351E"/>
    <w:multiLevelType w:val="multilevel"/>
    <w:tmpl w:val="2158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81F2F"/>
    <w:multiLevelType w:val="hybridMultilevel"/>
    <w:tmpl w:val="F1060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9A0FD8"/>
    <w:multiLevelType w:val="hybridMultilevel"/>
    <w:tmpl w:val="E4AAD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5B0899"/>
    <w:multiLevelType w:val="multilevel"/>
    <w:tmpl w:val="E730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3C4E"/>
    <w:rsid w:val="000D3F9A"/>
    <w:rsid w:val="000D7D7C"/>
    <w:rsid w:val="000E483F"/>
    <w:rsid w:val="00172A41"/>
    <w:rsid w:val="001930AC"/>
    <w:rsid w:val="001B703A"/>
    <w:rsid w:val="001C30F5"/>
    <w:rsid w:val="001E3C4E"/>
    <w:rsid w:val="0022089C"/>
    <w:rsid w:val="00227AB4"/>
    <w:rsid w:val="00244547"/>
    <w:rsid w:val="00274F8C"/>
    <w:rsid w:val="00297493"/>
    <w:rsid w:val="002F3958"/>
    <w:rsid w:val="00330839"/>
    <w:rsid w:val="00393E2F"/>
    <w:rsid w:val="003F1794"/>
    <w:rsid w:val="003F5855"/>
    <w:rsid w:val="00495E6F"/>
    <w:rsid w:val="00523261"/>
    <w:rsid w:val="00540648"/>
    <w:rsid w:val="00601AC9"/>
    <w:rsid w:val="006242A8"/>
    <w:rsid w:val="00624AED"/>
    <w:rsid w:val="00746BC4"/>
    <w:rsid w:val="007C7D97"/>
    <w:rsid w:val="007F4586"/>
    <w:rsid w:val="00851DCA"/>
    <w:rsid w:val="0087087A"/>
    <w:rsid w:val="0089617D"/>
    <w:rsid w:val="00896A3B"/>
    <w:rsid w:val="00914018"/>
    <w:rsid w:val="00951E8D"/>
    <w:rsid w:val="009A7774"/>
    <w:rsid w:val="009B56EE"/>
    <w:rsid w:val="00A12874"/>
    <w:rsid w:val="00A23C89"/>
    <w:rsid w:val="00A5350B"/>
    <w:rsid w:val="00AB0F6F"/>
    <w:rsid w:val="00B07849"/>
    <w:rsid w:val="00BD58C4"/>
    <w:rsid w:val="00BD6BE7"/>
    <w:rsid w:val="00BE246E"/>
    <w:rsid w:val="00C16928"/>
    <w:rsid w:val="00C20FD4"/>
    <w:rsid w:val="00C82681"/>
    <w:rsid w:val="00CA569E"/>
    <w:rsid w:val="00CB429C"/>
    <w:rsid w:val="00CC47E4"/>
    <w:rsid w:val="00D46C00"/>
    <w:rsid w:val="00D510E2"/>
    <w:rsid w:val="00D70A95"/>
    <w:rsid w:val="00D925ED"/>
    <w:rsid w:val="00DB640A"/>
    <w:rsid w:val="00DF1408"/>
    <w:rsid w:val="00E000EB"/>
    <w:rsid w:val="00E0458E"/>
    <w:rsid w:val="00E076BF"/>
    <w:rsid w:val="00E4329A"/>
    <w:rsid w:val="00F42C9A"/>
    <w:rsid w:val="00F52D61"/>
    <w:rsid w:val="00F85AE7"/>
    <w:rsid w:val="00FA66E9"/>
    <w:rsid w:val="00FC45FB"/>
    <w:rsid w:val="00FD6473"/>
    <w:rsid w:val="00FF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C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A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A1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874"/>
  </w:style>
  <w:style w:type="paragraph" w:styleId="a8">
    <w:name w:val="footer"/>
    <w:basedOn w:val="a"/>
    <w:link w:val="a9"/>
    <w:uiPriority w:val="99"/>
    <w:semiHidden/>
    <w:unhideWhenUsed/>
    <w:rsid w:val="00A1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2874"/>
  </w:style>
  <w:style w:type="paragraph" w:styleId="aa">
    <w:name w:val="Plain Text"/>
    <w:basedOn w:val="a"/>
    <w:link w:val="ab"/>
    <w:uiPriority w:val="99"/>
    <w:unhideWhenUsed/>
    <w:rsid w:val="003F179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3F1794"/>
    <w:rPr>
      <w:rFonts w:ascii="Consolas" w:eastAsiaTheme="minorHAnsi" w:hAnsi="Consolas"/>
      <w:sz w:val="21"/>
      <w:szCs w:val="21"/>
      <w:lang w:eastAsia="en-US"/>
    </w:rPr>
  </w:style>
  <w:style w:type="character" w:styleId="ac">
    <w:name w:val="annotation reference"/>
    <w:basedOn w:val="a0"/>
    <w:uiPriority w:val="99"/>
    <w:semiHidden/>
    <w:unhideWhenUsed/>
    <w:rsid w:val="00C169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692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1692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9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169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pavljuchenko</dc:creator>
  <cp:lastModifiedBy>eivleva</cp:lastModifiedBy>
  <cp:revision>2</cp:revision>
  <dcterms:created xsi:type="dcterms:W3CDTF">2014-07-30T08:35:00Z</dcterms:created>
  <dcterms:modified xsi:type="dcterms:W3CDTF">2014-07-30T08:35:00Z</dcterms:modified>
</cp:coreProperties>
</file>