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86F8E" w14:textId="77777777" w:rsidR="003F40EC" w:rsidRDefault="003F40EC" w:rsidP="003F40EC">
      <w:pPr>
        <w:spacing w:after="0" w:line="252" w:lineRule="auto"/>
        <w:ind w:left="57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caps/>
          <w:sz w:val="24"/>
          <w:szCs w:val="24"/>
          <w:lang w:eastAsia="ru-RU"/>
        </w:rPr>
        <w:t>Приложение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№ </w:t>
      </w:r>
      <w:r>
        <w:rPr>
          <w:szCs w:val="24"/>
          <w:lang w:eastAsia="ru-RU"/>
        </w:rPr>
        <w:t>__</w:t>
      </w:r>
    </w:p>
    <w:p w14:paraId="621C98D7" w14:textId="77777777" w:rsidR="003F40EC" w:rsidRDefault="003F40EC" w:rsidP="003F40EC">
      <w:pPr>
        <w:spacing w:after="0" w:line="252" w:lineRule="auto"/>
        <w:ind w:left="57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к Протоколу № </w:t>
      </w:r>
      <w:r>
        <w:rPr>
          <w:szCs w:val="24"/>
          <w:lang w:eastAsia="ru-RU"/>
        </w:rPr>
        <w:t>__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/2024 заседания Наблюдательного совета </w:t>
      </w:r>
    </w:p>
    <w:p w14:paraId="7E204C7D" w14:textId="77777777" w:rsidR="003F40EC" w:rsidRDefault="003F40EC" w:rsidP="003F40EC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Ассоциации «</w:t>
      </w:r>
      <w:proofErr w:type="spellStart"/>
      <w:r>
        <w:rPr>
          <w:rFonts w:ascii="Times New Roman" w:eastAsia="Calibri" w:hAnsi="Times New Roman"/>
          <w:sz w:val="24"/>
          <w:szCs w:val="24"/>
          <w:lang w:eastAsia="ru-RU"/>
        </w:rPr>
        <w:t>НП</w:t>
      </w:r>
      <w:proofErr w:type="spellEnd"/>
      <w:r>
        <w:rPr>
          <w:rFonts w:ascii="Times New Roman" w:eastAsia="Calibri" w:hAnsi="Times New Roman"/>
          <w:sz w:val="24"/>
          <w:szCs w:val="24"/>
          <w:lang w:eastAsia="ru-RU"/>
        </w:rPr>
        <w:t xml:space="preserve"> Совет рынка» от __ апреля 2024 года.</w:t>
      </w:r>
    </w:p>
    <w:p w14:paraId="38235631" w14:textId="77777777" w:rsidR="003F40EC" w:rsidRDefault="003F40EC" w:rsidP="003F40EC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EAE562A" w14:textId="77777777" w:rsidR="003F40EC" w:rsidRDefault="003F40EC" w:rsidP="003F40EC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Garamond" w:hAnsi="Garamond"/>
          <w:b/>
          <w:sz w:val="28"/>
          <w:szCs w:val="28"/>
        </w:rPr>
      </w:pPr>
    </w:p>
    <w:p w14:paraId="22727A48" w14:textId="07D7B26F" w:rsidR="003F40EC" w:rsidRPr="009A7F07" w:rsidRDefault="003F40EC" w:rsidP="003F40EC">
      <w:pPr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Вопрос</w:t>
      </w:r>
      <w:r w:rsidR="00D14482">
        <w:rPr>
          <w:rFonts w:ascii="Garamond" w:hAnsi="Garamond"/>
          <w:b/>
          <w:sz w:val="28"/>
          <w:szCs w:val="28"/>
        </w:rPr>
        <w:t xml:space="preserve"> 8</w:t>
      </w:r>
      <w:r>
        <w:rPr>
          <w:rFonts w:ascii="Garamond" w:hAnsi="Garamond"/>
          <w:b/>
          <w:sz w:val="28"/>
          <w:szCs w:val="28"/>
        </w:rPr>
        <w:t xml:space="preserve">. </w:t>
      </w:r>
      <w:r w:rsidRPr="009A7F07">
        <w:rPr>
          <w:rFonts w:ascii="Garamond" w:hAnsi="Garamond"/>
          <w:b/>
          <w:sz w:val="28"/>
          <w:szCs w:val="28"/>
        </w:rPr>
        <w:t>Изменения, связанные с у</w:t>
      </w:r>
      <w:r w:rsidRPr="009A7F07">
        <w:rPr>
          <w:rFonts w:ascii="Garamond" w:hAnsi="Garamond"/>
          <w:b/>
          <w:iCs/>
          <w:sz w:val="28"/>
          <w:szCs w:val="28"/>
        </w:rPr>
        <w:t>точнением порядка формирования схемы прикрепления по </w:t>
      </w:r>
      <w:proofErr w:type="spellStart"/>
      <w:r w:rsidRPr="009A7F07">
        <w:rPr>
          <w:rFonts w:ascii="Garamond" w:hAnsi="Garamond"/>
          <w:b/>
          <w:iCs/>
          <w:sz w:val="28"/>
          <w:szCs w:val="28"/>
        </w:rPr>
        <w:t>РД</w:t>
      </w:r>
      <w:proofErr w:type="spellEnd"/>
    </w:p>
    <w:p w14:paraId="412C6439" w14:textId="1CC9F027" w:rsidR="003F40EC" w:rsidRDefault="003F40EC" w:rsidP="003F40EC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Garamond" w:hAnsi="Garamond"/>
          <w:b/>
          <w:sz w:val="28"/>
          <w:szCs w:val="28"/>
        </w:rPr>
      </w:pPr>
    </w:p>
    <w:p w14:paraId="2EC03C26" w14:textId="299F04DD" w:rsidR="003F40EC" w:rsidRDefault="003F40EC" w:rsidP="003F40EC">
      <w:pPr>
        <w:spacing w:after="0" w:line="240" w:lineRule="auto"/>
        <w:ind w:left="7788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</w:p>
    <w:p w14:paraId="143863B7" w14:textId="77777777" w:rsidR="003F40EC" w:rsidRDefault="003F40EC" w:rsidP="00A52371">
      <w:pPr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6C716337" w14:textId="24AF6B04" w:rsidR="005700F9" w:rsidRPr="009A7F07" w:rsidRDefault="005700F9" w:rsidP="00A52371">
      <w:pPr>
        <w:keepNext/>
        <w:tabs>
          <w:tab w:val="num" w:pos="720"/>
        </w:tabs>
        <w:spacing w:after="0" w:line="240" w:lineRule="auto"/>
        <w:jc w:val="both"/>
        <w:rPr>
          <w:rFonts w:ascii="Garamond" w:hAnsi="Garamond"/>
        </w:rPr>
      </w:pPr>
    </w:p>
    <w:tbl>
      <w:tblPr>
        <w:tblpPr w:leftFromText="180" w:rightFromText="180" w:vertAnchor="text" w:horzAnchor="margin" w:tblpY="-48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2"/>
      </w:tblGrid>
      <w:tr w:rsidR="002B35E1" w:rsidRPr="009A7F07" w14:paraId="38E0C647" w14:textId="77777777" w:rsidTr="002B35E1">
        <w:trPr>
          <w:trHeight w:val="968"/>
        </w:trPr>
        <w:tc>
          <w:tcPr>
            <w:tcW w:w="9822" w:type="dxa"/>
          </w:tcPr>
          <w:p w14:paraId="735AD2B8" w14:textId="77777777" w:rsidR="002B35E1" w:rsidRPr="009A7F07" w:rsidRDefault="002B35E1" w:rsidP="002B35E1">
            <w:pPr>
              <w:keepNext/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9A7F07">
              <w:rPr>
                <w:rFonts w:ascii="Garamond" w:hAnsi="Garamond" w:cs="Gautami"/>
                <w:b/>
                <w:sz w:val="24"/>
                <w:szCs w:val="24"/>
              </w:rPr>
              <w:t xml:space="preserve">Инициатор: </w:t>
            </w:r>
            <w:r w:rsidRPr="009A7F07">
              <w:rPr>
                <w:rFonts w:ascii="Garamond" w:hAnsi="Garamond"/>
                <w:sz w:val="24"/>
                <w:szCs w:val="24"/>
              </w:rPr>
              <w:t>АО «АТС».</w:t>
            </w:r>
          </w:p>
          <w:p w14:paraId="7E52D147" w14:textId="5DC8BB92" w:rsidR="002B35E1" w:rsidRPr="009A7F07" w:rsidRDefault="002B35E1" w:rsidP="002B35E1">
            <w:pPr>
              <w:keepNext/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9A7F07">
              <w:rPr>
                <w:rFonts w:ascii="Garamond" w:hAnsi="Garamond" w:cs="Gautami"/>
                <w:b/>
                <w:sz w:val="24"/>
                <w:szCs w:val="24"/>
              </w:rPr>
              <w:t xml:space="preserve">Обоснование: </w:t>
            </w:r>
            <w:r w:rsidR="00A72A1D">
              <w:rPr>
                <w:rFonts w:ascii="Garamond" w:hAnsi="Garamond" w:cs="Gautami"/>
                <w:sz w:val="24"/>
                <w:szCs w:val="24"/>
              </w:rPr>
              <w:t>п</w:t>
            </w:r>
            <w:r w:rsidRPr="009A7F07">
              <w:rPr>
                <w:rFonts w:ascii="Garamond" w:hAnsi="Garamond" w:cs="Gautami"/>
                <w:sz w:val="24"/>
                <w:szCs w:val="24"/>
              </w:rPr>
              <w:t>риведение</w:t>
            </w:r>
            <w:r w:rsidRPr="009A7F07">
              <w:rPr>
                <w:rFonts w:ascii="Garamond" w:hAnsi="Garamond" w:cs="Gautami"/>
                <w:b/>
                <w:sz w:val="24"/>
                <w:szCs w:val="24"/>
              </w:rPr>
              <w:t xml:space="preserve"> </w:t>
            </w:r>
            <w:r w:rsidRPr="009A7F07">
              <w:rPr>
                <w:rFonts w:ascii="Garamond" w:hAnsi="Garamond" w:cs="Gautami"/>
                <w:sz w:val="24"/>
                <w:szCs w:val="24"/>
              </w:rPr>
              <w:t>методики формирования схемы прикрепления по регулируемым договорам в соответствие с Правилами оптового рынка</w:t>
            </w:r>
            <w:r w:rsidR="00A72A1D">
              <w:rPr>
                <w:rFonts w:ascii="Garamond" w:hAnsi="Garamond" w:cs="Gautami"/>
                <w:sz w:val="24"/>
                <w:szCs w:val="24"/>
              </w:rPr>
              <w:t>.</w:t>
            </w:r>
          </w:p>
          <w:p w14:paraId="4A339B7C" w14:textId="1A874FD1" w:rsidR="002B35E1" w:rsidRPr="009A7F07" w:rsidRDefault="002B35E1" w:rsidP="00855968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9A7F07">
              <w:rPr>
                <w:rFonts w:ascii="Garamond" w:hAnsi="Garamond" w:cs="Gautami"/>
                <w:b/>
                <w:sz w:val="24"/>
                <w:szCs w:val="24"/>
              </w:rPr>
              <w:t>Дата вступления в силу:</w:t>
            </w:r>
            <w:r w:rsidRPr="009A7F07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Pr="009A7F07">
              <w:rPr>
                <w:rFonts w:ascii="Garamond" w:hAnsi="Garamond"/>
                <w:sz w:val="24"/>
                <w:szCs w:val="24"/>
              </w:rPr>
              <w:t>1 мая 2024 года.</w:t>
            </w:r>
          </w:p>
        </w:tc>
      </w:tr>
    </w:tbl>
    <w:p w14:paraId="03490B0A" w14:textId="785C4CD0" w:rsidR="0002384B" w:rsidRPr="009A7F07" w:rsidRDefault="0002384B" w:rsidP="0002384B">
      <w:pPr>
        <w:pStyle w:val="2"/>
      </w:pPr>
      <w:r w:rsidRPr="009A7F07">
        <w:t>Предложения по изменениям и дополнениям в приложение 3 к РЕГЛАМЕНТУ РЕГИСТРАЦИИ РЕГУЛИРУЕМЫХ ДОГОВОРОВ КУПЛИ-ПРОДАЖИ ЭЛЕКТРОЭНЕРГИИ И МОЩНОСТИ</w:t>
      </w:r>
      <w:r w:rsidR="00A72A1D">
        <w:t xml:space="preserve"> (Приложение № 6.2 к Договору о </w:t>
      </w:r>
      <w:r w:rsidRPr="009A7F07">
        <w:t>присоединении к торговой системе оптового рынка)</w:t>
      </w:r>
    </w:p>
    <w:p w14:paraId="4C9991CF" w14:textId="77777777" w:rsidR="001C675B" w:rsidRPr="009A7F07" w:rsidRDefault="001C675B" w:rsidP="001C675B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02F6F8C" w14:textId="74BD0E96" w:rsidR="0076263D" w:rsidRPr="00A72A1D" w:rsidRDefault="0076263D" w:rsidP="0076263D">
      <w:pPr>
        <w:rPr>
          <w:rFonts w:ascii="Garamond" w:hAnsi="Garamond"/>
          <w:b/>
          <w:bCs/>
          <w:iCs/>
          <w:sz w:val="24"/>
          <w:szCs w:val="24"/>
        </w:rPr>
      </w:pPr>
      <w:bookmarkStart w:id="0" w:name="_Toc152483184"/>
      <w:bookmarkStart w:id="1" w:name="_Toc153797988"/>
      <w:bookmarkStart w:id="2" w:name="_Toc154477816"/>
      <w:bookmarkEnd w:id="0"/>
      <w:bookmarkEnd w:id="1"/>
      <w:bookmarkEnd w:id="2"/>
      <w:r w:rsidRPr="00A72A1D">
        <w:rPr>
          <w:rFonts w:ascii="Garamond" w:hAnsi="Garamond"/>
          <w:b/>
          <w:bCs/>
          <w:iCs/>
          <w:sz w:val="24"/>
          <w:szCs w:val="24"/>
        </w:rPr>
        <w:t>Действующая редакция</w:t>
      </w:r>
    </w:p>
    <w:p w14:paraId="13220119" w14:textId="545DC761" w:rsidR="0076263D" w:rsidRPr="00A72A1D" w:rsidRDefault="0076263D" w:rsidP="00EF35F4">
      <w:pPr>
        <w:pStyle w:val="3"/>
        <w:keepNext w:val="0"/>
        <w:numPr>
          <w:ilvl w:val="1"/>
          <w:numId w:val="23"/>
        </w:numPr>
        <w:spacing w:before="120" w:after="120"/>
        <w:rPr>
          <w:rFonts w:ascii="Garamond" w:hAnsi="Garamond"/>
          <w:sz w:val="22"/>
          <w:szCs w:val="22"/>
        </w:rPr>
      </w:pPr>
      <w:r w:rsidRPr="00A72A1D">
        <w:rPr>
          <w:rFonts w:ascii="Garamond" w:hAnsi="Garamond"/>
          <w:sz w:val="22"/>
          <w:szCs w:val="22"/>
        </w:rPr>
        <w:t>Общие ограничения, учитываемые математической моделью при расчете схемы прикрепления по регулируемым договорам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537"/>
      </w:tblGrid>
      <w:tr w:rsidR="0076263D" w:rsidRPr="009A7F07" w14:paraId="00628804" w14:textId="77777777" w:rsidTr="0014354C">
        <w:trPr>
          <w:cantSplit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1A90D315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Ограничения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E8C8B" w14:textId="77777777" w:rsidR="0076263D" w:rsidRPr="009A7F07" w:rsidRDefault="0076263D" w:rsidP="0014354C">
            <w:pPr>
              <w:ind w:left="435" w:hanging="435"/>
              <w:jc w:val="center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Комментарии</w:t>
            </w:r>
          </w:p>
        </w:tc>
      </w:tr>
      <w:tr w:rsidR="0076263D" w:rsidRPr="009A7F07" w14:paraId="7AD17761" w14:textId="77777777" w:rsidTr="0014354C">
        <w:trPr>
          <w:cantSplit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</w:tcBorders>
          </w:tcPr>
          <w:p w14:paraId="5F08BAEC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Ограничения на годовой объем поставки электрической энергии: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6CF7D5C9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Объем электрической энергии, поставляемой по совокупности всех определенных для поставщика </w:t>
            </w:r>
            <w:proofErr w:type="spellStart"/>
            <w:r w:rsidRPr="009A7F07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9A7F07">
              <w:rPr>
                <w:rFonts w:ascii="Garamond" w:hAnsi="Garamond"/>
              </w:rPr>
              <w:t xml:space="preserve"> регулируемых договоров, за период регулирования должен лежать в допустимых пределах от величины объема поставки электрической энергии, указанной в Сводном прогнозном балансе.</w:t>
            </w:r>
          </w:p>
        </w:tc>
      </w:tr>
      <w:tr w:rsidR="0076263D" w:rsidRPr="009A7F07" w14:paraId="2C88968D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50DDABB7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  <w:position w:val="-70"/>
              </w:rPr>
              <w:object w:dxaOrig="2799" w:dyaOrig="1359" w14:anchorId="238974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1pt;height:72.7pt" o:ole="">
                  <v:imagedata r:id="rId8" o:title=""/>
                </v:shape>
                <o:OLEObject Type="Embed" ProgID="Equation.3" ShapeID="_x0000_i1025" DrawAspect="Content" ObjectID="_1775071302" r:id="rId9"/>
              </w:object>
            </w:r>
          </w:p>
        </w:tc>
        <w:tc>
          <w:tcPr>
            <w:tcW w:w="4537" w:type="dxa"/>
            <w:vMerge/>
            <w:tcBorders>
              <w:bottom w:val="nil"/>
              <w:right w:val="nil"/>
            </w:tcBorders>
            <w:vAlign w:val="center"/>
          </w:tcPr>
          <w:p w14:paraId="63115F79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</w:p>
        </w:tc>
      </w:tr>
      <w:tr w:rsidR="0076263D" w:rsidRPr="009A7F07" w14:paraId="7D1C7A64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0F0460CA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</w:p>
          <w:p w14:paraId="3601D663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∀G</m:t>
              </m:r>
            </m:oMath>
            <w:r w:rsidRPr="009A7F07">
              <w:rPr>
                <w:rFonts w:ascii="Garamond" w:hAnsi="Garamond"/>
              </w:rPr>
              <w:t>:</w:t>
            </w:r>
          </w:p>
          <w:p w14:paraId="7F8A65DC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  <w:highlight w:val="yellow"/>
                        </w:rPr>
                        <m:t xml:space="preserve">\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5%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sub>
                            <m:sup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ij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ненас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ij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нас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</w:rPr>
                <m:t>≤0,35×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highlight w:val="yellow"/>
                        </w:rPr>
                        <m:t>\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5%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ЭЭ</m:t>
                          </m:r>
                        </m:sup>
                      </m:sSubSup>
                    </m:e>
                  </m:nary>
                </m:e>
              </m:nary>
            </m:oMath>
            <w:r w:rsidRPr="009A7F07">
              <w:rPr>
                <w:rFonts w:ascii="Garamond" w:hAnsi="Garamond"/>
              </w:rPr>
              <w:t xml:space="preserve">, </w:t>
            </w:r>
          </w:p>
          <w:p w14:paraId="7B729737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  <w:highlight w:val="yellow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b>
              </m:sSub>
            </m:oMath>
            <w:r w:rsidRPr="009A7F07">
              <w:rPr>
                <w:rFonts w:ascii="Garamond" w:hAnsi="Garamond"/>
                <w:highlight w:val="yellow"/>
              </w:rPr>
              <w:t xml:space="preserve"> – множество строк </w:t>
            </w:r>
            <w:r w:rsidRPr="009A7F07">
              <w:rPr>
                <w:rFonts w:ascii="Garamond" w:hAnsi="Garamond"/>
                <w:iCs/>
                <w:highlight w:val="yellow"/>
              </w:rPr>
              <w:t>Сводного прогнозного</w:t>
            </w:r>
            <w:r w:rsidRPr="009A7F07">
              <w:rPr>
                <w:rFonts w:ascii="Garamond" w:hAnsi="Garamond"/>
                <w:highlight w:val="yellow"/>
              </w:rPr>
              <w:t xml:space="preserve"> баланса, содержащих генерирующие объекты гидроэлектростанций, которые расположены во второй ценовой зоне и в отношении групп точек поставки которых по состоянию на 1 января 2012 года не осуществлялась торговля электрической энергией и мощностью, а также строк </w:t>
            </w:r>
            <w:r w:rsidRPr="009A7F07">
              <w:rPr>
                <w:rFonts w:ascii="Garamond" w:hAnsi="Garamond"/>
                <w:iCs/>
                <w:highlight w:val="yellow"/>
              </w:rPr>
              <w:t>Сводного прогнозного</w:t>
            </w:r>
            <w:r w:rsidRPr="009A7F07">
              <w:rPr>
                <w:rFonts w:ascii="Garamond" w:hAnsi="Garamond"/>
                <w:highlight w:val="yellow"/>
              </w:rPr>
              <w:t xml:space="preserve"> баланса, содержащих генерирующее оборудование электростанций, введенное в эксплуатацию после 1 января 2021 года, которое зарегистрировано на оптовом рынке в качестве отдельной группы точек поставки и в отношении которого не были заключены договоры, указанные в подпунктах 7–11, 14 и 15 пункта 4 Правил оптового рынка электрической энергии и мощности, утвержденных постановлением Правительства Российской Федерации № 1172 от 27 декабря 2010 года;</w:t>
            </w:r>
          </w:p>
          <w:p w14:paraId="76200134" w14:textId="12749500" w:rsidR="00DE46F0" w:rsidRPr="00DE46F0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oMath>
            <w:r w:rsidRPr="009A7F07">
              <w:rPr>
                <w:rFonts w:ascii="Garamond" w:hAnsi="Garamond"/>
              </w:rPr>
              <w:t xml:space="preserve"> – множество строк </w:t>
            </w:r>
            <w:r w:rsidRPr="009A7F07">
              <w:rPr>
                <w:rFonts w:ascii="Garamond" w:hAnsi="Garamond"/>
                <w:iCs/>
              </w:rPr>
              <w:t>Сводного прогнозного</w:t>
            </w:r>
            <w:r w:rsidRPr="009A7F07">
              <w:rPr>
                <w:rFonts w:ascii="Garamond" w:hAnsi="Garamond"/>
              </w:rPr>
              <w:t xml:space="preserve"> баланса, содержащих генерирующие объекты, принадлежащие генерирующей компании </w:t>
            </w:r>
            <w:r w:rsidRPr="009A7F07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</w:rPr>
              <w:t>.</w:t>
            </w:r>
          </w:p>
        </w:tc>
        <w:tc>
          <w:tcPr>
            <w:tcW w:w="4537" w:type="dxa"/>
            <w:tcBorders>
              <w:bottom w:val="nil"/>
              <w:right w:val="nil"/>
            </w:tcBorders>
          </w:tcPr>
          <w:p w14:paraId="44DB1B35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</w:p>
          <w:p w14:paraId="24AF88B6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Суммарный объем электрической энергии,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9A7F07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</w:rPr>
              <w:t xml:space="preserve">, </w:t>
            </w:r>
            <w:r w:rsidRPr="009A7F07">
              <w:rPr>
                <w:rFonts w:ascii="Garamond" w:hAnsi="Garamond"/>
                <w:highlight w:val="yellow"/>
              </w:rPr>
              <w:t xml:space="preserve">не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9A7F07">
              <w:rPr>
                <w:rFonts w:ascii="Garamond" w:hAnsi="Garamond"/>
                <w:highlight w:val="yellow"/>
              </w:rPr>
              <w:t xml:space="preserve">, </w:t>
            </w:r>
            <w:r w:rsidRPr="00DA6A5B">
              <w:rPr>
                <w:rFonts w:ascii="Garamond" w:hAnsi="Garamond"/>
              </w:rPr>
              <w:t xml:space="preserve">за период регулирования должен быть не больше 35 % от суммарного за год объема сальдо </w:t>
            </w:r>
            <w:proofErr w:type="spellStart"/>
            <w:r w:rsidRPr="00DA6A5B">
              <w:rPr>
                <w:rFonts w:ascii="Garamond" w:hAnsi="Garamond"/>
              </w:rPr>
              <w:t>перетока</w:t>
            </w:r>
            <w:proofErr w:type="spellEnd"/>
            <w:r w:rsidRPr="00DA6A5B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ЭЭ</m:t>
                  </m:r>
                </m:sup>
              </m:sSubSup>
            </m:oMath>
            <w:r w:rsidRPr="00DA6A5B">
              <w:rPr>
                <w:rFonts w:ascii="Garamond" w:hAnsi="Garamond"/>
              </w:rPr>
              <w:t xml:space="preserve"> генерирующего оборудования генерирующей компании </w:t>
            </w:r>
            <w:r w:rsidRPr="00DA6A5B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  <w:highlight w:val="yellow"/>
              </w:rPr>
              <w:t xml:space="preserve">, не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9A7F07">
              <w:rPr>
                <w:rFonts w:ascii="Garamond" w:hAnsi="Garamond"/>
                <w:highlight w:val="yellow"/>
              </w:rPr>
              <w:t>,</w:t>
            </w:r>
            <w:r w:rsidRPr="009A7F07">
              <w:rPr>
                <w:rFonts w:ascii="Garamond" w:hAnsi="Garamond"/>
              </w:rPr>
              <w:t xml:space="preserve"> указанного в Сводном прогнозном балансе.</w:t>
            </w:r>
          </w:p>
        </w:tc>
      </w:tr>
      <w:tr w:rsidR="0076263D" w:rsidRPr="009A7F07" w14:paraId="1522C0F6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48904B15" w14:textId="77777777" w:rsidR="0076263D" w:rsidRPr="007D2AD5" w:rsidRDefault="0076263D" w:rsidP="0014354C">
            <w:pPr>
              <w:jc w:val="both"/>
              <w:rPr>
                <w:rFonts w:ascii="Garamond" w:hAnsi="Garamond"/>
                <w:highlight w:val="yellow"/>
                <w:lang w:val="en-US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w:lastRenderedPageBreak/>
                <m:t>∀</m:t>
              </m:r>
              <m:r>
                <w:rPr>
                  <w:rFonts w:ascii="Cambria Math" w:hAnsi="Cambria Math"/>
                  <w:highlight w:val="yellow"/>
                  <w:lang w:val="en-US"/>
                </w:rPr>
                <m:t>G</m:t>
              </m:r>
            </m:oMath>
            <w:r w:rsidRPr="007D2AD5">
              <w:rPr>
                <w:rFonts w:ascii="Garamond" w:hAnsi="Garamond"/>
                <w:highlight w:val="yellow"/>
                <w:lang w:val="en-US"/>
              </w:rPr>
              <w:t>:</w:t>
            </w:r>
          </w:p>
          <w:p w14:paraId="629D4F1A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m:oMathPara>
              <m:oMath>
                <m:r>
                  <w:rPr>
                    <w:rFonts w:ascii="Cambria Math" w:hAnsi="Cambria Math"/>
                    <w:highlight w:val="yellow"/>
                    <w:lang w:val="en-US"/>
                  </w:rPr>
                  <m:t xml:space="preserve">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qArr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r 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 </m:t>
                            </m:r>
                          </m:e>
                        </m:eqAr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G</m:t>
                            </m:r>
                          </m:sub>
                        </m:s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∩&amp;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5%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</m:eqAr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∈r</m:t>
                        </m:r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h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j</m:t>
                                </m:r>
                              </m:sub>
                              <m:sup/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(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ij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ненас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∙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h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ij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h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нас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∙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h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)</m:t>
                                </m:r>
                              </m:e>
                            </m:nary>
                          </m:e>
                        </m:nary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</w:rPr>
                  <m:t>≤0,05×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qArr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r 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 </m:t>
                            </m:r>
                          </m:e>
                        </m:eqAr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G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∩&amp;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5%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</m:eqAr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ЭЭ</m:t>
                            </m:r>
                          </m:sup>
                        </m:sSubSup>
                      </m:e>
                    </m:nary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1606A572" w14:textId="77777777" w:rsidR="0076263D" w:rsidRDefault="0076263D" w:rsidP="0014354C">
            <w:pPr>
              <w:jc w:val="both"/>
              <w:rPr>
                <w:rFonts w:ascii="Garamond" w:hAnsi="Garamond"/>
              </w:rPr>
            </w:pPr>
          </w:p>
          <w:p w14:paraId="2DBF1CC1" w14:textId="77777777" w:rsidR="00AB367E" w:rsidRDefault="00AB367E" w:rsidP="0014354C">
            <w:pPr>
              <w:jc w:val="both"/>
              <w:rPr>
                <w:rFonts w:ascii="Garamond" w:hAnsi="Garamond"/>
              </w:rPr>
            </w:pPr>
          </w:p>
          <w:p w14:paraId="47F0768E" w14:textId="1805B360" w:rsidR="00AB367E" w:rsidRPr="009A7F07" w:rsidRDefault="00AB367E" w:rsidP="0014354C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537" w:type="dxa"/>
            <w:tcBorders>
              <w:bottom w:val="nil"/>
              <w:right w:val="nil"/>
            </w:tcBorders>
            <w:vAlign w:val="center"/>
          </w:tcPr>
          <w:p w14:paraId="6F0104D1" w14:textId="77777777" w:rsidR="0076263D" w:rsidRPr="009A7F07" w:rsidRDefault="0076263D" w:rsidP="0014354C">
            <w:pPr>
              <w:jc w:val="both"/>
              <w:rPr>
                <w:rFonts w:ascii="Garamond" w:hAnsi="Garamond"/>
              </w:rPr>
            </w:pPr>
            <w:r w:rsidRPr="007D2AD5">
              <w:rPr>
                <w:rFonts w:ascii="Garamond" w:hAnsi="Garamond"/>
                <w:highlight w:val="yellow"/>
              </w:rPr>
              <w:t xml:space="preserve">Для генерирующих объектов гидроэлектростанций, которые расположены во второй ценовой зоне и в отношении групп точек поставки которых по состоянию на 1 января 2012 года не осуществлялась торговля электрической энергией и мощностью, а также генерирующего оборудования электростанций, введенного в эксплуатацию после 1 января 2021 года, которое зарегистрировано на оптовом рынке в качестве отдельной группы точек поставки и в отношении которого не были заключены договоры, указанные в подпунктах 7–11, 14 и 15 пункта 4 Правил оптового рынка электрической энергии и мощности, утвержденных постановлением Правительства Российской Федерации № 1172 от 27 декабря 2010 года, суммарный объем электрической энергии,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7D2AD5">
              <w:rPr>
                <w:rFonts w:ascii="Garamond" w:hAnsi="Garamond"/>
                <w:i/>
                <w:highlight w:val="yellow"/>
                <w:lang w:val="en-US"/>
              </w:rPr>
              <w:t>G</w:t>
            </w:r>
            <w:r w:rsidRPr="007D2AD5">
              <w:rPr>
                <w:rFonts w:ascii="Garamond" w:hAnsi="Garamond"/>
                <w:highlight w:val="yellow"/>
              </w:rPr>
              <w:t xml:space="preserve"> за период регулирования должен быть не больше 5 % от суммарного за год объема сальдо </w:t>
            </w:r>
            <w:proofErr w:type="spellStart"/>
            <w:r w:rsidRPr="007D2AD5">
              <w:rPr>
                <w:rFonts w:ascii="Garamond" w:hAnsi="Garamond"/>
                <w:highlight w:val="yellow"/>
              </w:rPr>
              <w:t>перетока</w:t>
            </w:r>
            <w:proofErr w:type="spellEnd"/>
            <w:r w:rsidRPr="007D2AD5">
              <w:rPr>
                <w:rFonts w:ascii="Garamond" w:hAnsi="Garamond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ЭЭ</m:t>
                  </m:r>
                </m:sup>
              </m:sSubSup>
            </m:oMath>
            <w:r w:rsidRPr="007D2AD5">
              <w:rPr>
                <w:rFonts w:ascii="Garamond" w:hAnsi="Garamond"/>
                <w:highlight w:val="yellow"/>
              </w:rPr>
              <w:t xml:space="preserve"> генерирующего оборудования генерирующей компании </w:t>
            </w:r>
            <w:r w:rsidRPr="007D2AD5">
              <w:rPr>
                <w:rFonts w:ascii="Garamond" w:hAnsi="Garamond"/>
                <w:i/>
                <w:highlight w:val="yellow"/>
                <w:lang w:val="en-US"/>
              </w:rPr>
              <w:t>G</w:t>
            </w:r>
            <w:r w:rsidRPr="007D2AD5">
              <w:rPr>
                <w:rFonts w:ascii="Garamond" w:hAnsi="Garamond"/>
                <w:highlight w:val="yellow"/>
              </w:rPr>
              <w:t xml:space="preserve">,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7D2AD5">
              <w:rPr>
                <w:rFonts w:ascii="Garamond" w:hAnsi="Garamond"/>
                <w:highlight w:val="yellow"/>
              </w:rPr>
              <w:t>, указанного в Сводном прогнозном балансе.</w:t>
            </w:r>
          </w:p>
        </w:tc>
      </w:tr>
      <w:tr w:rsidR="00FE78AC" w:rsidRPr="009A7F07" w14:paraId="0953AA54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780CB522" w14:textId="77777777" w:rsidR="00FE78AC" w:rsidRPr="00FE78AC" w:rsidRDefault="00FE78AC" w:rsidP="00FE78AC">
            <w:pPr>
              <w:jc w:val="both"/>
              <w:rPr>
                <w:rFonts w:ascii="Garamond" w:hAnsi="Garamond"/>
              </w:rPr>
            </w:pPr>
            <w:r w:rsidRPr="00FE78AC">
              <w:rPr>
                <w:rFonts w:ascii="Garamond" w:hAnsi="Garamond"/>
              </w:rPr>
              <w:t>Ограничение на объем поставки электрической энергии за первое полугодие:</w:t>
            </w:r>
          </w:p>
          <w:p w14:paraId="5912AF12" w14:textId="1A8DDA88" w:rsidR="00FE78AC" w:rsidRPr="00FE78AC" w:rsidRDefault="00FE78AC" w:rsidP="00FE78AC">
            <w:pPr>
              <w:jc w:val="both"/>
              <w:rPr>
                <w:rFonts w:ascii="Garamond" w:hAnsi="Garamond"/>
                <w:b/>
                <w:lang w:val="en-US"/>
              </w:rPr>
            </w:pPr>
            <w:r w:rsidRPr="00FE78AC">
              <w:rPr>
                <w:rFonts w:ascii="Garamond" w:hAnsi="Garamond"/>
                <w:position w:val="-74"/>
              </w:rPr>
              <w:object w:dxaOrig="3120" w:dyaOrig="1420" w14:anchorId="04F64DA0">
                <v:shape id="_x0000_i1026" type="#_x0000_t75" style="width:167.1pt;height:72.7pt" o:ole="">
                  <v:imagedata r:id="rId10" o:title=""/>
                </v:shape>
                <o:OLEObject Type="Embed" ProgID="Equation.3" ShapeID="_x0000_i1026" DrawAspect="Content" ObjectID="_1775071303" r:id="rId11"/>
              </w:objec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3CD3182F" w14:textId="1E469568" w:rsidR="00FE78AC" w:rsidRPr="00FE78AC" w:rsidRDefault="00FE78AC" w:rsidP="00FE78AC">
            <w:pPr>
              <w:jc w:val="both"/>
              <w:rPr>
                <w:rFonts w:ascii="Garamond" w:hAnsi="Garamond"/>
              </w:rPr>
            </w:pPr>
            <w:r w:rsidRPr="00FE78AC">
              <w:rPr>
                <w:rFonts w:ascii="Garamond" w:hAnsi="Garamond"/>
              </w:rPr>
              <w:t xml:space="preserve">Объем электрической энергии, поставляемой по совокупности всех определенных для поставщика </w:t>
            </w:r>
            <w:proofErr w:type="spellStart"/>
            <w:r w:rsidRPr="00FE78AC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FE78AC">
              <w:rPr>
                <w:rFonts w:ascii="Garamond" w:hAnsi="Garamond"/>
              </w:rPr>
              <w:t xml:space="preserve"> регулируемых договоров, за первое полугодие периода регулирования должен лежать в допустимых пределах от величины объема поставки электрической энергии за первое полугодие, указанной в Сводном прогнозном балансе.</w:t>
            </w:r>
          </w:p>
        </w:tc>
      </w:tr>
      <w:tr w:rsidR="00FE78AC" w:rsidRPr="009A7F07" w14:paraId="502C7C24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73446931" w14:textId="672F57C2" w:rsidR="00FE78AC" w:rsidRPr="00197937" w:rsidRDefault="00FE78AC" w:rsidP="00FE78AC">
            <w:pPr>
              <w:jc w:val="both"/>
              <w:rPr>
                <w:rFonts w:ascii="Garamond" w:hAnsi="Garamond"/>
                <w:b/>
              </w:rPr>
            </w:pPr>
            <w:r w:rsidRPr="00197937">
              <w:rPr>
                <w:rFonts w:ascii="Garamond" w:hAnsi="Garamond"/>
                <w:b/>
              </w:rPr>
              <w:t>…</w: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22847FED" w14:textId="77777777" w:rsidR="00FE78AC" w:rsidRPr="003E67BC" w:rsidRDefault="00FE78AC" w:rsidP="00FE78AC">
            <w:pPr>
              <w:jc w:val="both"/>
            </w:pPr>
          </w:p>
        </w:tc>
      </w:tr>
      <w:tr w:rsidR="00FE78AC" w:rsidRPr="009A7F07" w14:paraId="5FA8CD78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682999FF" w14:textId="77777777" w:rsidR="00FE78AC" w:rsidRPr="009A7F07" w:rsidRDefault="00FE78AC" w:rsidP="00FE78AC">
            <w:pPr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w:lastRenderedPageBreak/>
                <m:t>∀G</m:t>
              </m:r>
            </m:oMath>
            <w:r w:rsidRPr="009A7F07">
              <w:rPr>
                <w:rFonts w:ascii="Garamond" w:hAnsi="Garamond"/>
              </w:rPr>
              <w:t>:</w:t>
            </w:r>
          </w:p>
          <w:p w14:paraId="1F05A7E0" w14:textId="77777777" w:rsidR="00FE78AC" w:rsidRPr="009A7F07" w:rsidRDefault="00FE78AC" w:rsidP="00FE78AC">
            <w:pPr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  <w:highlight w:val="yellow"/>
                        </w:rPr>
                        <m:t xml:space="preserve">\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5%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sub>
                            <m:sup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position w:val="-14"/>
                                </w:rPr>
                                <w:object w:dxaOrig="600" w:dyaOrig="400" w14:anchorId="1C582D50">
                                  <v:shape id="_x0000_i1035" type="#_x0000_t75" style="width:29.9pt;height:21.05pt" o:ole="">
                                    <v:imagedata r:id="rId12" o:title=""/>
                                  </v:shape>
                                  <o:OLEObject Type="Embed" ProgID="Equation.3" ShapeID="_x0000_i1035" DrawAspect="Content" ObjectID="_1775071304" r:id="rId13"/>
                                </w:objec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position w:val="-14"/>
                                </w:rPr>
                                <w:object w:dxaOrig="460" w:dyaOrig="400" w14:anchorId="7DCF123A">
                                  <v:shape id="_x0000_i1036" type="#_x0000_t75" style="width:23.1pt;height:21.05pt" o:ole="">
                                    <v:imagedata r:id="rId14" o:title=""/>
                                  </v:shape>
                                  <o:OLEObject Type="Embed" ProgID="Equation.3" ShapeID="_x0000_i1036" DrawAspect="Content" ObjectID="_1775071305" r:id="rId15"/>
                                </w:objec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</w:rPr>
                <m:t>≤0,35×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  <w:highlight w:val="yellow"/>
                        </w:rPr>
                        <m:t xml:space="preserve">\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5%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⁡</m:t>
                      </m:r>
                      <m:r>
                        <w:rPr>
                          <w:rFonts w:ascii="Cambria Math" w:hAnsi="Cambria Math"/>
                        </w:rPr>
                        <m:t>(0;(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расп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СН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))</m:t>
                      </m:r>
                    </m:e>
                  </m:nary>
                </m:e>
              </m:nary>
            </m:oMath>
            <w:r w:rsidRPr="009A7F07">
              <w:rPr>
                <w:rFonts w:ascii="Garamond" w:hAnsi="Garamond"/>
              </w:rPr>
              <w:t xml:space="preserve">, </w:t>
            </w:r>
          </w:p>
          <w:p w14:paraId="370606DB" w14:textId="77777777" w:rsidR="00FE78AC" w:rsidRPr="009A7F07" w:rsidRDefault="00FE78AC" w:rsidP="00FE78AC">
            <w:pPr>
              <w:jc w:val="both"/>
              <w:rPr>
                <w:rFonts w:ascii="Garamond" w:hAnsi="Garamond"/>
              </w:rPr>
            </w:pPr>
            <w:r w:rsidRPr="001F79CA">
              <w:rPr>
                <w:rFonts w:ascii="Garamond" w:hAnsi="Garamond"/>
                <w:highlight w:val="yellow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b>
              </m:sSub>
            </m:oMath>
            <w:r w:rsidRPr="001F79CA">
              <w:rPr>
                <w:rFonts w:ascii="Garamond" w:hAnsi="Garamond"/>
                <w:highlight w:val="yellow"/>
              </w:rPr>
              <w:t xml:space="preserve"> – множество строк </w:t>
            </w:r>
            <w:r w:rsidRPr="001F79CA">
              <w:rPr>
                <w:rFonts w:ascii="Garamond" w:hAnsi="Garamond"/>
                <w:iCs/>
                <w:highlight w:val="yellow"/>
              </w:rPr>
              <w:t>Сводного прогнозного</w:t>
            </w:r>
            <w:r w:rsidRPr="001F79CA">
              <w:rPr>
                <w:rFonts w:ascii="Garamond" w:hAnsi="Garamond"/>
                <w:highlight w:val="yellow"/>
              </w:rPr>
              <w:t xml:space="preserve"> баланса, содержащих генерирующие объекты гидроэлектростанций, которые расположены во второй ценовой зоне и в отношении групп точек поставки которых по состоянию на 1 января 2012 года не осуществлялась торговля электрической энергией и мощностью, а также строк </w:t>
            </w:r>
            <w:r w:rsidRPr="001F79CA">
              <w:rPr>
                <w:rFonts w:ascii="Garamond" w:hAnsi="Garamond"/>
                <w:iCs/>
                <w:highlight w:val="yellow"/>
              </w:rPr>
              <w:t>Сводного прогнозного</w:t>
            </w:r>
            <w:r w:rsidRPr="001F79CA">
              <w:rPr>
                <w:rFonts w:ascii="Garamond" w:hAnsi="Garamond"/>
                <w:highlight w:val="yellow"/>
              </w:rPr>
              <w:t xml:space="preserve"> баланса, содержащих генерирующее оборудование электростанций, введенное в эксплуатацию после 1 января 2021 года, которое зарегистрировано на оптовом рынке в качестве отдельной группы точек поставки и в отношении которого не были заключены договоры, указанные в подпунктах 7–11, 14 и 15 пункта 4 Правил оптового рынка электрической энергии и мощности, утвержденных постановлением Правительства Российской Федерации № 1172 от 27 декабря 2010 года.</w:t>
            </w:r>
          </w:p>
        </w:tc>
        <w:tc>
          <w:tcPr>
            <w:tcW w:w="4537" w:type="dxa"/>
            <w:tcBorders>
              <w:bottom w:val="nil"/>
              <w:right w:val="nil"/>
            </w:tcBorders>
          </w:tcPr>
          <w:p w14:paraId="7D41C829" w14:textId="77777777" w:rsidR="00FE78AC" w:rsidRPr="009A7F07" w:rsidRDefault="00FE78AC" w:rsidP="00FE78A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Суммарный объем мощности,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9A7F07">
              <w:rPr>
                <w:rFonts w:ascii="Garamond" w:hAnsi="Garamond"/>
                <w:i/>
                <w:lang w:val="en-US"/>
              </w:rPr>
              <w:t>G</w:t>
            </w:r>
            <w:r w:rsidRPr="001F79CA">
              <w:rPr>
                <w:rFonts w:ascii="Garamond" w:hAnsi="Garamond"/>
                <w:highlight w:val="yellow"/>
              </w:rPr>
              <w:t xml:space="preserve">, не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1F79CA">
              <w:rPr>
                <w:rFonts w:ascii="Garamond" w:hAnsi="Garamond"/>
                <w:highlight w:val="yellow"/>
              </w:rPr>
              <w:t xml:space="preserve">, </w:t>
            </w:r>
            <w:r w:rsidRPr="001F79CA">
              <w:rPr>
                <w:rFonts w:ascii="Garamond" w:hAnsi="Garamond"/>
              </w:rPr>
              <w:t xml:space="preserve">за период регулирования должен быть не больше 35 % от суммарного за год максимума между нулем и разностью объема располагаемой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расп</m:t>
                  </m:r>
                </m:sup>
              </m:sSubSup>
            </m:oMath>
            <w:r w:rsidRPr="001F79CA">
              <w:rPr>
                <w:rFonts w:ascii="Garamond" w:hAnsi="Garamond"/>
              </w:rPr>
              <w:t xml:space="preserve"> и объема мощности на собственные нужды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СН</m:t>
                  </m:r>
                </m:sup>
              </m:sSubSup>
            </m:oMath>
            <w:r w:rsidRPr="001F79CA">
              <w:rPr>
                <w:rFonts w:ascii="Garamond" w:hAnsi="Garamond"/>
              </w:rPr>
              <w:t xml:space="preserve"> генерирующего оборудования генерирующей компании </w:t>
            </w:r>
            <w:r w:rsidRPr="001F79CA">
              <w:rPr>
                <w:rFonts w:ascii="Garamond" w:hAnsi="Garamond"/>
                <w:i/>
                <w:lang w:val="en-US"/>
              </w:rPr>
              <w:t>G</w:t>
            </w:r>
            <w:r w:rsidRPr="001F79CA">
              <w:rPr>
                <w:rFonts w:ascii="Garamond" w:hAnsi="Garamond"/>
              </w:rPr>
              <w:t>,</w:t>
            </w:r>
            <w:r w:rsidRPr="001F79CA">
              <w:rPr>
                <w:rFonts w:ascii="Garamond" w:hAnsi="Garamond"/>
                <w:highlight w:val="yellow"/>
              </w:rPr>
              <w:t xml:space="preserve"> не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9A7F07">
              <w:rPr>
                <w:rFonts w:ascii="Garamond" w:hAnsi="Garamond"/>
              </w:rPr>
              <w:t>, указанного в Сводном прогнозном балансе.</w:t>
            </w:r>
          </w:p>
        </w:tc>
      </w:tr>
      <w:tr w:rsidR="00A07130" w:rsidRPr="009A7F07" w14:paraId="16E69405" w14:textId="77777777" w:rsidTr="00975A45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79E15236" w14:textId="77777777" w:rsidR="00A07130" w:rsidRPr="00A07130" w:rsidRDefault="00A07130" w:rsidP="00A07130">
            <w:pPr>
              <w:jc w:val="both"/>
              <w:rPr>
                <w:rFonts w:ascii="Garamond" w:hAnsi="Garamond"/>
                <w:highlight w:val="yellow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highlight w:val="yellow"/>
                  </w:rPr>
                  <m:t>∀G</m:t>
                </m:r>
                <m:r>
                  <w:rPr>
                    <w:rFonts w:ascii="Cambria Math" w:hAnsi="Cambria Math"/>
                    <w:highlight w:val="yellow"/>
                    <w:lang w:val="en-US"/>
                  </w:rPr>
                  <m:t>:</m:t>
                </m:r>
              </m:oMath>
            </m:oMathPara>
          </w:p>
          <w:p w14:paraId="541BD1B6" w14:textId="77777777" w:rsidR="00A07130" w:rsidRPr="00A07130" w:rsidRDefault="00A07130" w:rsidP="00A07130">
            <w:pPr>
              <w:jc w:val="both"/>
              <w:rPr>
                <w:rFonts w:ascii="Garamond" w:hAnsi="Garamond"/>
                <w:highlight w:val="yellow"/>
              </w:rPr>
            </w:pPr>
            <m:oMathPara>
              <m:oMath>
                <m:r>
                  <w:rPr>
                    <w:rFonts w:ascii="Cambria Math" w:hAnsi="Cambria Math"/>
                    <w:highlight w:val="yellow"/>
                  </w:rPr>
                  <m:t xml:space="preserve">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qArr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r 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 </m:t>
                            </m:r>
                          </m:e>
                        </m:eqAr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G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∩&amp;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5%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</m:eqAr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r</m:t>
                        </m:r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m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j</m:t>
                                </m:r>
                              </m:sub>
                              <m:sup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position w:val="-14"/>
                                        <w:highlight w:val="yellow"/>
                                      </w:rPr>
                                      <w:object w:dxaOrig="600" w:dyaOrig="400" w14:anchorId="7172FC7B">
                                        <v:shape id="_x0000_i1047" type="#_x0000_t75" style="width:29.9pt;height:21.05pt" o:ole="">
                                          <v:imagedata r:id="rId12" o:title=""/>
                                        </v:shape>
                                        <o:OLEObject Type="Embed" ProgID="Equation.3" ShapeID="_x0000_i1047" DrawAspect="Content" ObjectID="_1775071306" r:id="rId16"/>
                                      </w:objec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highlight w:val="yellow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position w:val="-14"/>
                                        <w:highlight w:val="yellow"/>
                                      </w:rPr>
                                      <w:object w:dxaOrig="460" w:dyaOrig="400" w14:anchorId="634CE022">
                                        <v:shape id="_x0000_i1048" type="#_x0000_t75" style="width:23.1pt;height:21.05pt" o:ole="">
                                          <v:imagedata r:id="rId14" o:title=""/>
                                        </v:shape>
                                        <o:OLEObject Type="Embed" ProgID="Equation.3" ShapeID="_x0000_i1048" DrawAspect="Content" ObjectID="_1775071307" r:id="rId17"/>
                                      </w:object>
                                    </m:r>
                                  </m:e>
                                </m:d>
                              </m:e>
                            </m:nary>
                          </m:e>
                        </m:nary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</w:rPr>
                  <m:t>≤0,05×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qArr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r 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 xml:space="preserve"> </m:t>
                            </m:r>
                          </m:e>
                        </m:eqAr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G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 xml:space="preserve"> ∩&amp;&amp;&amp;&amp;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5%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e>
                    </m:eqAr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max⁡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(0;(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r,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расп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highlight w:val="yellow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r,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highlight w:val="yellow"/>
                          </w:rPr>
                          <m:t>)</m:t>
                        </m:r>
                      </m:e>
                    </m:nary>
                  </m:e>
                </m:nary>
                <m:r>
                  <w:rPr>
                    <w:rFonts w:ascii="Cambria Math" w:hAnsi="Cambria Math"/>
                    <w:highlight w:val="yellow"/>
                  </w:rPr>
                  <m:t>)</m:t>
                </m:r>
              </m:oMath>
            </m:oMathPara>
          </w:p>
          <w:p w14:paraId="0A25E6BC" w14:textId="77777777" w:rsidR="00A07130" w:rsidRPr="00A07130" w:rsidRDefault="00A07130" w:rsidP="00A07130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4537" w:type="dxa"/>
            <w:tcBorders>
              <w:bottom w:val="nil"/>
              <w:right w:val="nil"/>
            </w:tcBorders>
            <w:vAlign w:val="center"/>
          </w:tcPr>
          <w:p w14:paraId="6B116F45" w14:textId="4A4902C4" w:rsidR="00A07130" w:rsidRPr="00A07130" w:rsidRDefault="00A07130" w:rsidP="00A07130">
            <w:pPr>
              <w:jc w:val="both"/>
              <w:rPr>
                <w:rFonts w:ascii="Garamond" w:hAnsi="Garamond"/>
                <w:highlight w:val="yellow"/>
              </w:rPr>
            </w:pPr>
            <w:r w:rsidRPr="00A07130">
              <w:rPr>
                <w:rFonts w:ascii="Garamond" w:hAnsi="Garamond"/>
                <w:highlight w:val="yellow"/>
              </w:rPr>
              <w:t xml:space="preserve">Для генерирующих объектов гидроэлектростанций, которые расположены во второй ценовой зоне и в отношении групп точек поставки которых по состоянию на 1 января 2012 года не осуществлялась торговля электрической энергией и мощностью, а также генерирующего оборудования электростанций, введенного в эксплуатацию после 1 января 2021 года, которое зарегистрировано на оптовом рынке в качестве отдельной группы точек поставки и в отношении которого не были заключены договоры, указанные в подпунктах 7–11, 14 и 15 пункта 4 Правил оптового рынка электрической энергии и мощности, утвержденных постановлением Правительства Российской Федерации № 1172 от 27 декабря 2010 года, суммарный объем мощности,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A07130">
              <w:rPr>
                <w:rFonts w:ascii="Garamond" w:hAnsi="Garamond"/>
                <w:i/>
                <w:highlight w:val="yellow"/>
                <w:lang w:val="en-US"/>
              </w:rPr>
              <w:t>G</w:t>
            </w:r>
            <w:r w:rsidRPr="00A07130">
              <w:rPr>
                <w:rFonts w:ascii="Garamond" w:hAnsi="Garamond"/>
                <w:highlight w:val="yellow"/>
              </w:rPr>
              <w:t xml:space="preserve"> за период регулирования должен быть не больше 5 % от суммарного за год максимума между нулем и разностью</w:t>
            </w:r>
            <w:r w:rsidRPr="00A07130">
              <w:rPr>
                <w:rStyle w:val="af"/>
                <w:rFonts w:ascii="Garamond" w:hAnsi="Garamond"/>
                <w:highlight w:val="yellow"/>
              </w:rPr>
              <w:t xml:space="preserve"> </w:t>
            </w:r>
            <w:r w:rsidRPr="00A07130">
              <w:rPr>
                <w:rFonts w:ascii="Garamond" w:hAnsi="Garamond"/>
                <w:highlight w:val="yellow"/>
              </w:rPr>
              <w:t>объема располагаемой мощности</w:t>
            </w:r>
            <m:oMath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расп</m:t>
                  </m:r>
                </m:sup>
              </m:sSubSup>
            </m:oMath>
            <w:r w:rsidRPr="00A07130">
              <w:rPr>
                <w:rFonts w:ascii="Garamond" w:hAnsi="Garamond"/>
                <w:highlight w:val="yellow"/>
              </w:rPr>
              <w:t xml:space="preserve"> и объема мощности на собственные нужды </w:t>
            </w: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СН</m:t>
                  </m:r>
                </m:sup>
              </m:sSubSup>
            </m:oMath>
            <w:r w:rsidRPr="00A07130">
              <w:rPr>
                <w:rFonts w:ascii="Garamond" w:hAnsi="Garamond"/>
                <w:highlight w:val="yellow"/>
              </w:rPr>
              <w:t xml:space="preserve"> генерирующего оборудования генерирующей компании </w:t>
            </w:r>
            <w:r w:rsidRPr="00A07130">
              <w:rPr>
                <w:rFonts w:ascii="Garamond" w:hAnsi="Garamond"/>
                <w:i/>
                <w:highlight w:val="yellow"/>
                <w:lang w:val="en-US"/>
              </w:rPr>
              <w:t>G</w:t>
            </w:r>
            <w:r w:rsidRPr="00A07130">
              <w:rPr>
                <w:rFonts w:ascii="Garamond" w:hAnsi="Garamond"/>
                <w:highlight w:val="yellow"/>
              </w:rPr>
              <w:t xml:space="preserve">, относящегося ко множеству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5%</m:t>
                  </m:r>
                </m:sub>
              </m:sSub>
            </m:oMath>
            <w:r w:rsidRPr="00A07130">
              <w:rPr>
                <w:rFonts w:ascii="Garamond" w:hAnsi="Garamond"/>
                <w:highlight w:val="yellow"/>
              </w:rPr>
              <w:t>, указанного в Сводном прогнозном балансе.</w:t>
            </w:r>
          </w:p>
        </w:tc>
      </w:tr>
      <w:tr w:rsidR="00A07130" w:rsidRPr="009A7F07" w14:paraId="0D3D7FAF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109A6EFF" w14:textId="77777777" w:rsidR="00A07130" w:rsidRPr="003056B9" w:rsidRDefault="00A07130" w:rsidP="00A07130">
            <w:pPr>
              <w:widowControl w:val="0"/>
              <w:jc w:val="both"/>
              <w:rPr>
                <w:rFonts w:ascii="Garamond" w:hAnsi="Garamond"/>
              </w:rPr>
            </w:pPr>
            <w:r w:rsidRPr="003056B9">
              <w:rPr>
                <w:rFonts w:ascii="Garamond" w:hAnsi="Garamond"/>
              </w:rPr>
              <w:lastRenderedPageBreak/>
              <w:t>Ограничение на объем поставки мощности за первое полугодие:</w:t>
            </w:r>
          </w:p>
          <w:p w14:paraId="5CCD561A" w14:textId="0FA0F8C4" w:rsidR="00A07130" w:rsidRPr="003056B9" w:rsidRDefault="00A07130" w:rsidP="00A07130">
            <w:pPr>
              <w:rPr>
                <w:rFonts w:ascii="Garamond" w:hAnsi="Garamond"/>
                <w:b/>
                <w:lang w:val="en-US"/>
              </w:rPr>
            </w:pPr>
            <w:r w:rsidRPr="003056B9">
              <w:rPr>
                <w:rFonts w:ascii="Garamond" w:hAnsi="Garamond"/>
                <w:position w:val="-74"/>
              </w:rPr>
              <w:object w:dxaOrig="2540" w:dyaOrig="1420" w14:anchorId="204BA234">
                <v:shape id="_x0000_i1049" type="#_x0000_t75" style="width:136.55pt;height:76.75pt" o:ole="">
                  <v:imagedata r:id="rId18" o:title=""/>
                </v:shape>
                <o:OLEObject Type="Embed" ProgID="Equation.3" ShapeID="_x0000_i1049" DrawAspect="Content" ObjectID="_1775071308" r:id="rId19"/>
              </w:objec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4C6D03F4" w14:textId="5FBB02AC" w:rsidR="00A07130" w:rsidRPr="003056B9" w:rsidRDefault="00A07130" w:rsidP="00A07130">
            <w:pPr>
              <w:jc w:val="both"/>
              <w:rPr>
                <w:rFonts w:ascii="Garamond" w:hAnsi="Garamond"/>
              </w:rPr>
            </w:pPr>
            <w:r w:rsidRPr="003056B9">
              <w:rPr>
                <w:rFonts w:ascii="Garamond" w:hAnsi="Garamond"/>
              </w:rPr>
              <w:t xml:space="preserve">Объем поставляемой мощности по совокупности определенных для поставщика </w:t>
            </w:r>
            <w:proofErr w:type="spellStart"/>
            <w:r w:rsidRPr="003056B9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3056B9">
              <w:rPr>
                <w:rFonts w:ascii="Garamond" w:hAnsi="Garamond"/>
              </w:rPr>
              <w:t xml:space="preserve"> регулируемых договоров за первое полугодие периода регулирования должен лежать в допустимых пределах от величины поставляемой мощности за первое полугодие, указанной в Сводном прогнозном балансе.</w:t>
            </w:r>
          </w:p>
        </w:tc>
      </w:tr>
      <w:tr w:rsidR="00A07130" w:rsidRPr="009A7F07" w14:paraId="60171578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72F89E24" w14:textId="508C958F" w:rsidR="00A07130" w:rsidRPr="003056B9" w:rsidRDefault="00A07130" w:rsidP="00A07130">
            <w:pPr>
              <w:widowControl w:val="0"/>
              <w:jc w:val="both"/>
              <w:rPr>
                <w:rFonts w:ascii="Garamond" w:hAnsi="Garamond"/>
                <w:b/>
                <w:lang w:val="en-US"/>
              </w:rPr>
            </w:pPr>
            <w:r w:rsidRPr="003056B9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46D7CE6D" w14:textId="77777777" w:rsidR="00A07130" w:rsidRPr="003056B9" w:rsidRDefault="00A07130" w:rsidP="00A07130">
            <w:pPr>
              <w:jc w:val="both"/>
              <w:rPr>
                <w:rFonts w:ascii="Garamond" w:hAnsi="Garamond"/>
              </w:rPr>
            </w:pPr>
          </w:p>
        </w:tc>
      </w:tr>
    </w:tbl>
    <w:p w14:paraId="733B4E90" w14:textId="77777777" w:rsidR="000652C4" w:rsidRDefault="000652C4" w:rsidP="00C92945">
      <w:pPr>
        <w:rPr>
          <w:rFonts w:ascii="Garamond" w:hAnsi="Garamond"/>
          <w:b/>
          <w:bCs/>
          <w:iCs/>
        </w:rPr>
      </w:pPr>
    </w:p>
    <w:p w14:paraId="61D2A00A" w14:textId="5D7882B5" w:rsidR="00C92945" w:rsidRPr="00A72A1D" w:rsidRDefault="00C92945" w:rsidP="00C92945">
      <w:pPr>
        <w:rPr>
          <w:rFonts w:ascii="Garamond" w:hAnsi="Garamond"/>
          <w:b/>
          <w:bCs/>
          <w:iCs/>
          <w:sz w:val="24"/>
          <w:szCs w:val="24"/>
        </w:rPr>
      </w:pPr>
      <w:r w:rsidRPr="00A72A1D">
        <w:rPr>
          <w:rFonts w:ascii="Garamond" w:hAnsi="Garamond"/>
          <w:b/>
          <w:bCs/>
          <w:iCs/>
          <w:sz w:val="24"/>
          <w:szCs w:val="24"/>
        </w:rPr>
        <w:t>Предлагаемая редакция</w:t>
      </w:r>
    </w:p>
    <w:p w14:paraId="68528EF9" w14:textId="66FDA9A0" w:rsidR="00C92945" w:rsidRPr="00A72A1D" w:rsidRDefault="00C92945" w:rsidP="00C92945">
      <w:pPr>
        <w:pStyle w:val="3"/>
        <w:keepNext w:val="0"/>
        <w:numPr>
          <w:ilvl w:val="1"/>
          <w:numId w:val="24"/>
        </w:numPr>
        <w:spacing w:before="120" w:after="120"/>
        <w:rPr>
          <w:rFonts w:ascii="Garamond" w:hAnsi="Garamond"/>
          <w:sz w:val="22"/>
          <w:szCs w:val="22"/>
        </w:rPr>
      </w:pPr>
      <w:r w:rsidRPr="00A72A1D">
        <w:rPr>
          <w:rFonts w:ascii="Garamond" w:hAnsi="Garamond"/>
          <w:sz w:val="22"/>
          <w:szCs w:val="22"/>
        </w:rPr>
        <w:t>Общие ограниче</w:t>
      </w:r>
      <w:bookmarkStart w:id="3" w:name="_GoBack"/>
      <w:bookmarkEnd w:id="3"/>
      <w:r w:rsidRPr="00A72A1D">
        <w:rPr>
          <w:rFonts w:ascii="Garamond" w:hAnsi="Garamond"/>
          <w:sz w:val="22"/>
          <w:szCs w:val="22"/>
        </w:rPr>
        <w:t>ния, учитываемые математической моделью при расчете схемы прикрепления по регулируемым договорам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537"/>
      </w:tblGrid>
      <w:tr w:rsidR="00C92945" w:rsidRPr="009A7F07" w14:paraId="4BF90D28" w14:textId="77777777" w:rsidTr="0014354C">
        <w:trPr>
          <w:cantSplit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4243E383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Ограничения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BF880" w14:textId="77777777" w:rsidR="00C92945" w:rsidRPr="009A7F07" w:rsidRDefault="00C92945" w:rsidP="0014354C">
            <w:pPr>
              <w:ind w:left="435" w:hanging="435"/>
              <w:jc w:val="center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Комментарии</w:t>
            </w:r>
          </w:p>
        </w:tc>
      </w:tr>
      <w:tr w:rsidR="00C92945" w:rsidRPr="009A7F07" w14:paraId="62B3A164" w14:textId="77777777" w:rsidTr="0014354C">
        <w:trPr>
          <w:cantSplit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</w:tcBorders>
          </w:tcPr>
          <w:p w14:paraId="2C7A9C63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>Ограничения на годовой объем поставки электрической энергии: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76CE482B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Объем электрической энергии, поставляемой по совокупности всех определенных для поставщика </w:t>
            </w:r>
            <w:proofErr w:type="spellStart"/>
            <w:r w:rsidRPr="009A7F07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9A7F07">
              <w:rPr>
                <w:rFonts w:ascii="Garamond" w:hAnsi="Garamond"/>
              </w:rPr>
              <w:t xml:space="preserve"> регулируемых договоров, за период регулирования должен лежать в допустимых пределах от величины объема поставки электрической энергии, указанной в Сводном прогнозном балансе.</w:t>
            </w:r>
          </w:p>
        </w:tc>
      </w:tr>
      <w:tr w:rsidR="00C92945" w:rsidRPr="009A7F07" w14:paraId="0DE0B934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20435844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  <w:position w:val="-70"/>
              </w:rPr>
              <w:object w:dxaOrig="2799" w:dyaOrig="1359" w14:anchorId="13F14676">
                <v:shape id="_x0000_i1050" type="#_x0000_t75" style="width:150.1pt;height:72.7pt" o:ole="">
                  <v:imagedata r:id="rId8" o:title=""/>
                </v:shape>
                <o:OLEObject Type="Embed" ProgID="Equation.3" ShapeID="_x0000_i1050" DrawAspect="Content" ObjectID="_1775071309" r:id="rId20"/>
              </w:object>
            </w:r>
          </w:p>
        </w:tc>
        <w:tc>
          <w:tcPr>
            <w:tcW w:w="4537" w:type="dxa"/>
            <w:vMerge/>
            <w:tcBorders>
              <w:bottom w:val="nil"/>
              <w:right w:val="nil"/>
            </w:tcBorders>
            <w:vAlign w:val="center"/>
          </w:tcPr>
          <w:p w14:paraId="529DE17F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</w:p>
        </w:tc>
      </w:tr>
      <w:tr w:rsidR="00C92945" w:rsidRPr="009A7F07" w14:paraId="7E7E9458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012DC13B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</w:p>
          <w:p w14:paraId="535AB6E5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∀G</m:t>
              </m:r>
            </m:oMath>
            <w:r w:rsidRPr="009A7F07">
              <w:rPr>
                <w:rFonts w:ascii="Garamond" w:hAnsi="Garamond"/>
              </w:rPr>
              <w:t>:</w:t>
            </w:r>
          </w:p>
          <w:p w14:paraId="5A274D73" w14:textId="1756928C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sub>
                            <m:sup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ij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ненас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ij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нас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</w:rPr>
                <m:t>≤0,35×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ЭЭ</m:t>
                          </m:r>
                        </m:sup>
                      </m:sSubSup>
                    </m:e>
                  </m:nary>
                </m:e>
              </m:nary>
            </m:oMath>
            <w:r w:rsidRPr="009A7F07">
              <w:rPr>
                <w:rFonts w:ascii="Garamond" w:hAnsi="Garamond"/>
              </w:rPr>
              <w:t xml:space="preserve">, </w:t>
            </w:r>
          </w:p>
          <w:p w14:paraId="3081FFEB" w14:textId="77777777" w:rsidR="00C92945" w:rsidRPr="00DE46F0" w:rsidRDefault="00C92945" w:rsidP="0014354C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oMath>
            <w:r w:rsidRPr="009A7F07">
              <w:rPr>
                <w:rFonts w:ascii="Garamond" w:hAnsi="Garamond"/>
              </w:rPr>
              <w:t xml:space="preserve"> – множество строк </w:t>
            </w:r>
            <w:r w:rsidRPr="009A7F07">
              <w:rPr>
                <w:rFonts w:ascii="Garamond" w:hAnsi="Garamond"/>
                <w:iCs/>
              </w:rPr>
              <w:t>Сводного прогнозного</w:t>
            </w:r>
            <w:r w:rsidRPr="009A7F07">
              <w:rPr>
                <w:rFonts w:ascii="Garamond" w:hAnsi="Garamond"/>
              </w:rPr>
              <w:t xml:space="preserve"> баланса, содержащих генерирующие объекты, принадлежащие генерирующей компании </w:t>
            </w:r>
            <w:r w:rsidRPr="009A7F07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</w:rPr>
              <w:t>.</w:t>
            </w:r>
          </w:p>
        </w:tc>
        <w:tc>
          <w:tcPr>
            <w:tcW w:w="4537" w:type="dxa"/>
            <w:tcBorders>
              <w:bottom w:val="nil"/>
              <w:right w:val="nil"/>
            </w:tcBorders>
          </w:tcPr>
          <w:p w14:paraId="0643ADFF" w14:textId="77777777" w:rsidR="00C92945" w:rsidRPr="009A7F07" w:rsidRDefault="00C92945" w:rsidP="0014354C">
            <w:pPr>
              <w:jc w:val="both"/>
              <w:rPr>
                <w:rFonts w:ascii="Garamond" w:hAnsi="Garamond"/>
              </w:rPr>
            </w:pPr>
          </w:p>
          <w:p w14:paraId="6D76B805" w14:textId="2346FF1A" w:rsidR="00C92945" w:rsidRPr="009A7F07" w:rsidRDefault="00C92945" w:rsidP="00C92945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Суммарный объем электрической энергии,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9A7F07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</w:rPr>
              <w:t xml:space="preserve">, </w:t>
            </w:r>
            <w:r w:rsidRPr="00DA6A5B">
              <w:rPr>
                <w:rFonts w:ascii="Garamond" w:hAnsi="Garamond"/>
              </w:rPr>
              <w:t xml:space="preserve">за период регулирования должен быть не больше 35 % от суммарного за год объема сальдо </w:t>
            </w:r>
            <w:proofErr w:type="spellStart"/>
            <w:r w:rsidRPr="00DA6A5B">
              <w:rPr>
                <w:rFonts w:ascii="Garamond" w:hAnsi="Garamond"/>
              </w:rPr>
              <w:t>перетока</w:t>
            </w:r>
            <w:proofErr w:type="spellEnd"/>
            <w:r w:rsidRPr="00DA6A5B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ЭЭ</m:t>
                  </m:r>
                </m:sup>
              </m:sSubSup>
            </m:oMath>
            <w:r w:rsidRPr="00DA6A5B">
              <w:rPr>
                <w:rFonts w:ascii="Garamond" w:hAnsi="Garamond"/>
              </w:rPr>
              <w:t xml:space="preserve"> генерирующего оборудования генерирующей компании </w:t>
            </w:r>
            <w:r w:rsidRPr="00C92945">
              <w:rPr>
                <w:rFonts w:ascii="Garamond" w:hAnsi="Garamond"/>
                <w:i/>
                <w:lang w:val="en-US"/>
              </w:rPr>
              <w:t>G</w:t>
            </w:r>
            <w:r w:rsidRPr="00C92945">
              <w:rPr>
                <w:rFonts w:ascii="Garamond" w:hAnsi="Garamond"/>
              </w:rPr>
              <w:t>,</w:t>
            </w:r>
            <w:r w:rsidRPr="009A7F07">
              <w:rPr>
                <w:rFonts w:ascii="Garamond" w:hAnsi="Garamond"/>
              </w:rPr>
              <w:t xml:space="preserve"> указанного в Сводном прогнозном балансе.</w:t>
            </w:r>
          </w:p>
        </w:tc>
      </w:tr>
      <w:tr w:rsidR="00124118" w:rsidRPr="009A7F07" w14:paraId="3EBC2125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2E8E3779" w14:textId="77777777" w:rsidR="00124118" w:rsidRPr="00FE78AC" w:rsidRDefault="00124118" w:rsidP="00124118">
            <w:pPr>
              <w:jc w:val="both"/>
              <w:rPr>
                <w:rFonts w:ascii="Garamond" w:hAnsi="Garamond"/>
              </w:rPr>
            </w:pPr>
            <w:r w:rsidRPr="00FE78AC">
              <w:rPr>
                <w:rFonts w:ascii="Garamond" w:hAnsi="Garamond"/>
              </w:rPr>
              <w:t>Ограничение на объем поставки электрической энергии за первое полугодие:</w:t>
            </w:r>
          </w:p>
          <w:p w14:paraId="2D6D2E25" w14:textId="20F2E2DE" w:rsidR="00124118" w:rsidRPr="00AB367E" w:rsidRDefault="00124118" w:rsidP="00124118">
            <w:pPr>
              <w:jc w:val="both"/>
              <w:rPr>
                <w:rFonts w:ascii="Garamond" w:hAnsi="Garamond"/>
                <w:b/>
                <w:lang w:val="en-US"/>
              </w:rPr>
            </w:pPr>
            <w:r w:rsidRPr="00FE78AC">
              <w:rPr>
                <w:rFonts w:ascii="Garamond" w:hAnsi="Garamond"/>
                <w:position w:val="-74"/>
              </w:rPr>
              <w:object w:dxaOrig="3120" w:dyaOrig="1420" w14:anchorId="7622C28B">
                <v:shape id="_x0000_i1051" type="#_x0000_t75" style="width:167.1pt;height:72.7pt" o:ole="">
                  <v:imagedata r:id="rId10" o:title=""/>
                </v:shape>
                <o:OLEObject Type="Embed" ProgID="Equation.3" ShapeID="_x0000_i1051" DrawAspect="Content" ObjectID="_1775071310" r:id="rId21"/>
              </w:objec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508FFBCF" w14:textId="20F6242F" w:rsidR="00124118" w:rsidRPr="009A7F07" w:rsidRDefault="00124118" w:rsidP="00124118">
            <w:pPr>
              <w:jc w:val="both"/>
              <w:rPr>
                <w:rFonts w:ascii="Garamond" w:hAnsi="Garamond"/>
              </w:rPr>
            </w:pPr>
            <w:r w:rsidRPr="00FE78AC">
              <w:rPr>
                <w:rFonts w:ascii="Garamond" w:hAnsi="Garamond"/>
              </w:rPr>
              <w:t xml:space="preserve">Объем электрической энергии, поставляемой по совокупности всех определенных для поставщика </w:t>
            </w:r>
            <w:proofErr w:type="spellStart"/>
            <w:r w:rsidRPr="00FE78AC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FE78AC">
              <w:rPr>
                <w:rFonts w:ascii="Garamond" w:hAnsi="Garamond"/>
              </w:rPr>
              <w:t xml:space="preserve"> регулируемых договоров, за первое полугодие периода регулирования должен лежать в допустимых пределах от величины объема поставки электрической энергии за первое полугодие, указанной в Сводном прогнозном балансе.</w:t>
            </w:r>
          </w:p>
        </w:tc>
      </w:tr>
      <w:tr w:rsidR="00124118" w:rsidRPr="009A7F07" w14:paraId="307F3915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445C1718" w14:textId="7F1BE470" w:rsidR="00124118" w:rsidRPr="00124118" w:rsidRDefault="00124118" w:rsidP="00124118">
            <w:pPr>
              <w:jc w:val="both"/>
              <w:rPr>
                <w:rFonts w:ascii="Garamond" w:hAnsi="Garamond"/>
                <w:b/>
                <w:lang w:val="en-US"/>
              </w:rPr>
            </w:pPr>
            <w:r w:rsidRPr="00124118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1BEEBAC1" w14:textId="77777777" w:rsidR="00124118" w:rsidRPr="00124118" w:rsidRDefault="00124118" w:rsidP="00124118">
            <w:pPr>
              <w:jc w:val="both"/>
              <w:rPr>
                <w:rFonts w:ascii="Garamond" w:hAnsi="Garamond"/>
                <w:b/>
              </w:rPr>
            </w:pPr>
          </w:p>
        </w:tc>
      </w:tr>
      <w:tr w:rsidR="00124118" w:rsidRPr="009A7F07" w14:paraId="3E6FD147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52506653" w14:textId="77777777" w:rsidR="00124118" w:rsidRPr="009A7F07" w:rsidRDefault="00124118" w:rsidP="00124118">
            <w:pPr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w:lastRenderedPageBreak/>
                <m:t>∀G</m:t>
              </m:r>
            </m:oMath>
            <w:r w:rsidRPr="009A7F07">
              <w:rPr>
                <w:rFonts w:ascii="Garamond" w:hAnsi="Garamond"/>
              </w:rPr>
              <w:t>:</w:t>
            </w:r>
          </w:p>
          <w:p w14:paraId="71726ED8" w14:textId="59EBC014" w:rsidR="00124118" w:rsidRPr="009A7F07" w:rsidRDefault="00124118" w:rsidP="00124118">
            <w:pPr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sub>
                            <m:sup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position w:val="-14"/>
                                </w:rPr>
                                <w:object w:dxaOrig="600" w:dyaOrig="400" w14:anchorId="3048C7D3">
                                  <v:shape id="_x0000_i1060" type="#_x0000_t75" style="width:29.9pt;height:21.05pt" o:ole="">
                                    <v:imagedata r:id="rId12" o:title=""/>
                                  </v:shape>
                                  <o:OLEObject Type="Embed" ProgID="Equation.3" ShapeID="_x0000_i1060" DrawAspect="Content" ObjectID="_1775071311" r:id="rId22"/>
                                </w:objec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position w:val="-14"/>
                                </w:rPr>
                                <w:object w:dxaOrig="460" w:dyaOrig="400" w14:anchorId="7326BB3F">
                                  <v:shape id="_x0000_i1061" type="#_x0000_t75" style="width:23.1pt;height:21.05pt" o:ole="">
                                    <v:imagedata r:id="rId14" o:title=""/>
                                  </v:shape>
                                  <o:OLEObject Type="Embed" ProgID="Equation.3" ShapeID="_x0000_i1061" DrawAspect="Content" ObjectID="_1775071312" r:id="rId23"/>
                                </w:objec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  <m:r>
                <w:rPr>
                  <w:rFonts w:ascii="Cambria Math" w:hAnsi="Cambria Math"/>
                </w:rPr>
                <m:t>≤0,35×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 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eqAr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</m:eqAr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⁡</m:t>
                      </m:r>
                      <m:r>
                        <w:rPr>
                          <w:rFonts w:ascii="Cambria Math" w:hAnsi="Cambria Math"/>
                        </w:rPr>
                        <m:t>(0;(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расп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СН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))</m:t>
                      </m:r>
                    </m:e>
                  </m:nary>
                </m:e>
              </m:nary>
            </m:oMath>
            <w:r w:rsidRPr="009A7F07">
              <w:rPr>
                <w:rFonts w:ascii="Garamond" w:hAnsi="Garamond"/>
              </w:rPr>
              <w:t xml:space="preserve">, </w:t>
            </w:r>
          </w:p>
          <w:p w14:paraId="4E133580" w14:textId="3481E725" w:rsidR="00124118" w:rsidRPr="009A7F07" w:rsidRDefault="00124118" w:rsidP="0012411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537" w:type="dxa"/>
            <w:tcBorders>
              <w:bottom w:val="nil"/>
              <w:right w:val="nil"/>
            </w:tcBorders>
          </w:tcPr>
          <w:p w14:paraId="51F85208" w14:textId="73BABE0C" w:rsidR="00124118" w:rsidRPr="009A7F07" w:rsidRDefault="00124118" w:rsidP="00124118">
            <w:pPr>
              <w:jc w:val="both"/>
              <w:rPr>
                <w:rFonts w:ascii="Garamond" w:hAnsi="Garamond"/>
              </w:rPr>
            </w:pPr>
            <w:r w:rsidRPr="009A7F07">
              <w:rPr>
                <w:rFonts w:ascii="Garamond" w:hAnsi="Garamond"/>
              </w:rPr>
              <w:t xml:space="preserve">Суммарный объем мощности, поставляемой по совокупности всех регулируемых договоров, определенных для генерирующего оборудования генерирующей компании </w:t>
            </w:r>
            <w:r w:rsidRPr="003C15A1">
              <w:rPr>
                <w:rFonts w:ascii="Garamond" w:hAnsi="Garamond"/>
                <w:i/>
                <w:lang w:val="en-US"/>
              </w:rPr>
              <w:t>G</w:t>
            </w:r>
            <w:r w:rsidRPr="003C15A1">
              <w:rPr>
                <w:rFonts w:ascii="Garamond" w:hAnsi="Garamond"/>
              </w:rPr>
              <w:t>, за</w:t>
            </w:r>
            <w:r w:rsidRPr="001F79CA">
              <w:rPr>
                <w:rFonts w:ascii="Garamond" w:hAnsi="Garamond"/>
              </w:rPr>
              <w:t xml:space="preserve"> период регулирования должен быть не больше 35 % от суммарного за год максимума между нулем и разностью объема располагаемой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расп</m:t>
                  </m:r>
                </m:sup>
              </m:sSubSup>
            </m:oMath>
            <w:r w:rsidRPr="001F79CA">
              <w:rPr>
                <w:rFonts w:ascii="Garamond" w:hAnsi="Garamond"/>
              </w:rPr>
              <w:t xml:space="preserve"> и объема мощности на собственные нужды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СН</m:t>
                  </m:r>
                </m:sup>
              </m:sSubSup>
            </m:oMath>
            <w:r w:rsidRPr="001F79CA">
              <w:rPr>
                <w:rFonts w:ascii="Garamond" w:hAnsi="Garamond"/>
              </w:rPr>
              <w:t xml:space="preserve"> генерирующего оборудования генерирующей компании </w:t>
            </w:r>
            <w:r w:rsidRPr="001F79CA">
              <w:rPr>
                <w:rFonts w:ascii="Garamond" w:hAnsi="Garamond"/>
                <w:i/>
                <w:lang w:val="en-US"/>
              </w:rPr>
              <w:t>G</w:t>
            </w:r>
            <w:r w:rsidRPr="009A7F07">
              <w:rPr>
                <w:rFonts w:ascii="Garamond" w:hAnsi="Garamond"/>
              </w:rPr>
              <w:t>, указанного в Сводном прогнозном балансе.</w:t>
            </w:r>
          </w:p>
        </w:tc>
      </w:tr>
      <w:tr w:rsidR="00AB438C" w:rsidRPr="009A7F07" w14:paraId="4E0B1E6E" w14:textId="77777777" w:rsidTr="00FC06E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151A8955" w14:textId="77777777" w:rsidR="00AB438C" w:rsidRPr="00AB438C" w:rsidRDefault="00AB438C" w:rsidP="00AB438C">
            <w:pPr>
              <w:widowControl w:val="0"/>
              <w:jc w:val="both"/>
              <w:rPr>
                <w:rFonts w:ascii="Garamond" w:hAnsi="Garamond"/>
              </w:rPr>
            </w:pPr>
            <w:r w:rsidRPr="00AB438C">
              <w:rPr>
                <w:rFonts w:ascii="Garamond" w:hAnsi="Garamond"/>
              </w:rPr>
              <w:t>Ограничение на объем поставки мощности за первое полугодие:</w:t>
            </w:r>
          </w:p>
          <w:p w14:paraId="150FCCCC" w14:textId="361334FB" w:rsidR="00AB438C" w:rsidRPr="00AB438C" w:rsidRDefault="00AB438C" w:rsidP="00AB438C">
            <w:pPr>
              <w:rPr>
                <w:rFonts w:ascii="Garamond" w:hAnsi="Garamond"/>
              </w:rPr>
            </w:pPr>
            <w:r w:rsidRPr="00AB438C">
              <w:rPr>
                <w:rFonts w:ascii="Garamond" w:hAnsi="Garamond"/>
                <w:position w:val="-74"/>
              </w:rPr>
              <w:object w:dxaOrig="2540" w:dyaOrig="1420" w14:anchorId="2C7EBCB7">
                <v:shape id="_x0000_i1062" type="#_x0000_t75" style="width:136.55pt;height:76.75pt" o:ole="">
                  <v:imagedata r:id="rId18" o:title=""/>
                </v:shape>
                <o:OLEObject Type="Embed" ProgID="Equation.3" ShapeID="_x0000_i1062" DrawAspect="Content" ObjectID="_1775071313" r:id="rId24"/>
              </w:object>
            </w:r>
          </w:p>
        </w:tc>
        <w:tc>
          <w:tcPr>
            <w:tcW w:w="4537" w:type="dxa"/>
            <w:tcBorders>
              <w:bottom w:val="nil"/>
              <w:right w:val="nil"/>
            </w:tcBorders>
            <w:vAlign w:val="center"/>
          </w:tcPr>
          <w:p w14:paraId="1A3067CF" w14:textId="19E45661" w:rsidR="00AB438C" w:rsidRPr="00AB438C" w:rsidRDefault="00AB438C" w:rsidP="00AB438C">
            <w:pPr>
              <w:jc w:val="both"/>
              <w:rPr>
                <w:rFonts w:ascii="Garamond" w:hAnsi="Garamond"/>
              </w:rPr>
            </w:pPr>
            <w:r w:rsidRPr="00AB438C">
              <w:rPr>
                <w:rFonts w:ascii="Garamond" w:hAnsi="Garamond"/>
              </w:rPr>
              <w:t xml:space="preserve">Объем поставляемой мощности по совокупности определенных для поставщика </w:t>
            </w:r>
            <w:proofErr w:type="spellStart"/>
            <w:r w:rsidRPr="00AB438C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AB438C">
              <w:rPr>
                <w:rFonts w:ascii="Garamond" w:hAnsi="Garamond"/>
              </w:rPr>
              <w:t xml:space="preserve"> регулируемых договоров за первое полугодие периода регулирования должен лежать в допустимых пределах от величины поставляемой мощности за первое полугодие, указанной в Сводном прогнозном балансе.</w:t>
            </w:r>
          </w:p>
        </w:tc>
      </w:tr>
      <w:tr w:rsidR="00AB438C" w:rsidRPr="009A7F07" w14:paraId="63EC6D5C" w14:textId="77777777" w:rsidTr="00FC06E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40364625" w14:textId="16FBAB17" w:rsidR="00AB438C" w:rsidRPr="00AB438C" w:rsidRDefault="00AB438C" w:rsidP="00AB438C">
            <w:pPr>
              <w:widowControl w:val="0"/>
              <w:jc w:val="both"/>
              <w:rPr>
                <w:rFonts w:ascii="Garamond" w:hAnsi="Garamond"/>
                <w:b/>
                <w:lang w:val="en-US"/>
              </w:rPr>
            </w:pPr>
            <w:r w:rsidRPr="00AB438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4537" w:type="dxa"/>
            <w:tcBorders>
              <w:bottom w:val="nil"/>
              <w:right w:val="nil"/>
            </w:tcBorders>
            <w:vAlign w:val="center"/>
          </w:tcPr>
          <w:p w14:paraId="7D2DDFB7" w14:textId="77777777" w:rsidR="00AB438C" w:rsidRPr="00AB438C" w:rsidRDefault="00AB438C" w:rsidP="00AB438C">
            <w:pPr>
              <w:jc w:val="both"/>
              <w:rPr>
                <w:b/>
              </w:rPr>
            </w:pPr>
          </w:p>
        </w:tc>
      </w:tr>
      <w:tr w:rsidR="00AB438C" w:rsidRPr="009A7F07" w14:paraId="00F4A01D" w14:textId="77777777" w:rsidTr="0014354C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14:paraId="70CBC687" w14:textId="77777777" w:rsidR="00AB438C" w:rsidRDefault="00AB438C" w:rsidP="00AB438C">
            <w:pPr>
              <w:rPr>
                <w:rFonts w:ascii="Garamond" w:hAnsi="Garamond"/>
              </w:rPr>
            </w:pPr>
          </w:p>
          <w:p w14:paraId="548C0FC5" w14:textId="77777777" w:rsidR="00AB438C" w:rsidRDefault="00AB438C" w:rsidP="00AB438C">
            <w:pPr>
              <w:rPr>
                <w:rFonts w:ascii="Garamond" w:hAnsi="Garamond"/>
              </w:rPr>
            </w:pPr>
          </w:p>
          <w:p w14:paraId="43FBF9DE" w14:textId="1F75FCB8" w:rsidR="00AB438C" w:rsidRPr="00AB367E" w:rsidRDefault="00AB438C" w:rsidP="00AB438C">
            <w:pPr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4537" w:type="dxa"/>
            <w:tcBorders>
              <w:top w:val="nil"/>
              <w:bottom w:val="nil"/>
              <w:right w:val="nil"/>
            </w:tcBorders>
            <w:vAlign w:val="center"/>
          </w:tcPr>
          <w:p w14:paraId="34AD8C85" w14:textId="768D4DE1" w:rsidR="00AB438C" w:rsidRPr="009A7F07" w:rsidRDefault="00AB438C" w:rsidP="00AB438C">
            <w:pPr>
              <w:jc w:val="both"/>
              <w:rPr>
                <w:rFonts w:ascii="Garamond" w:hAnsi="Garamond"/>
              </w:rPr>
            </w:pPr>
          </w:p>
        </w:tc>
      </w:tr>
    </w:tbl>
    <w:p w14:paraId="43AF2B30" w14:textId="77777777" w:rsidR="00C92945" w:rsidRPr="009A7F07" w:rsidRDefault="00C92945" w:rsidP="00C92945">
      <w:pPr>
        <w:rPr>
          <w:rFonts w:ascii="Garamond" w:hAnsi="Garamond"/>
          <w:b/>
          <w:bCs/>
          <w:iCs/>
        </w:rPr>
      </w:pPr>
    </w:p>
    <w:p w14:paraId="30E673B2" w14:textId="77777777" w:rsidR="00C92945" w:rsidRPr="009A7F07" w:rsidRDefault="00C92945" w:rsidP="0076263D">
      <w:pPr>
        <w:rPr>
          <w:rFonts w:ascii="Garamond" w:hAnsi="Garamond"/>
          <w:b/>
          <w:bCs/>
          <w:iCs/>
        </w:rPr>
      </w:pPr>
    </w:p>
    <w:sectPr w:rsidR="00C92945" w:rsidRPr="009A7F07" w:rsidSect="00163BBE">
      <w:headerReference w:type="first" r:id="rId25"/>
      <w:pgSz w:w="11906" w:h="16838"/>
      <w:pgMar w:top="536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F20E7" w14:textId="77777777" w:rsidR="00771675" w:rsidRDefault="00771675" w:rsidP="00921BD7">
      <w:pPr>
        <w:spacing w:after="0" w:line="240" w:lineRule="auto"/>
      </w:pPr>
      <w:r>
        <w:separator/>
      </w:r>
    </w:p>
  </w:endnote>
  <w:endnote w:type="continuationSeparator" w:id="0">
    <w:p w14:paraId="13D07752" w14:textId="77777777" w:rsidR="00771675" w:rsidRDefault="00771675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utami">
    <w:panose1 w:val="02000500000000000000"/>
    <w:charset w:val="01"/>
    <w:family w:val="roman"/>
    <w:notTrueType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7FCF6" w14:textId="77777777" w:rsidR="00771675" w:rsidRDefault="00771675" w:rsidP="00921BD7">
      <w:pPr>
        <w:spacing w:after="0" w:line="240" w:lineRule="auto"/>
      </w:pPr>
      <w:r>
        <w:separator/>
      </w:r>
    </w:p>
  </w:footnote>
  <w:footnote w:type="continuationSeparator" w:id="0">
    <w:p w14:paraId="1C5A4EB1" w14:textId="77777777" w:rsidR="00771675" w:rsidRDefault="00771675" w:rsidP="00921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25490" w14:textId="6505ADFC" w:rsidR="0076263D" w:rsidRPr="00163BBE" w:rsidRDefault="0076263D" w:rsidP="00163BBE">
    <w:pPr>
      <w:pStyle w:val="ab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04C08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46A00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2450438"/>
    <w:multiLevelType w:val="hybridMultilevel"/>
    <w:tmpl w:val="3B7C8FD4"/>
    <w:lvl w:ilvl="0" w:tplc="8F321A46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7" w15:restartNumberingAfterBreak="0">
    <w:nsid w:val="2C60295C"/>
    <w:multiLevelType w:val="multilevel"/>
    <w:tmpl w:val="EB689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B67740"/>
    <w:multiLevelType w:val="multilevel"/>
    <w:tmpl w:val="2966B0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F3547F5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1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3A1467"/>
    <w:multiLevelType w:val="hybridMultilevel"/>
    <w:tmpl w:val="3766AC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97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6" w15:restartNumberingAfterBreak="0">
    <w:nsid w:val="591A7788"/>
    <w:multiLevelType w:val="multilevel"/>
    <w:tmpl w:val="EE18C3C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9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F6C6E5C"/>
    <w:multiLevelType w:val="multilevel"/>
    <w:tmpl w:val="200232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4892F4A"/>
    <w:multiLevelType w:val="multilevel"/>
    <w:tmpl w:val="BBC87430"/>
    <w:lvl w:ilvl="0">
      <w:start w:val="1"/>
      <w:numFmt w:val="bullet"/>
      <w:pStyle w:val="a"/>
      <w:lvlText w:val="-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2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D0C2228"/>
    <w:multiLevelType w:val="hybridMultilevel"/>
    <w:tmpl w:val="33BE4B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6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6"/>
  </w:num>
  <w:num w:numId="4">
    <w:abstractNumId w:val="25"/>
  </w:num>
  <w:num w:numId="5">
    <w:abstractNumId w:val="18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19"/>
  </w:num>
  <w:num w:numId="11">
    <w:abstractNumId w:val="13"/>
  </w:num>
  <w:num w:numId="12">
    <w:abstractNumId w:val="9"/>
  </w:num>
  <w:num w:numId="13">
    <w:abstractNumId w:val="6"/>
  </w:num>
  <w:num w:numId="14">
    <w:abstractNumId w:val="15"/>
  </w:num>
  <w:num w:numId="15">
    <w:abstractNumId w:val="14"/>
  </w:num>
  <w:num w:numId="16">
    <w:abstractNumId w:val="12"/>
  </w:num>
  <w:num w:numId="17">
    <w:abstractNumId w:val="22"/>
  </w:num>
  <w:num w:numId="18">
    <w:abstractNumId w:val="11"/>
  </w:num>
  <w:num w:numId="19">
    <w:abstractNumId w:val="17"/>
  </w:num>
  <w:num w:numId="20">
    <w:abstractNumId w:val="1"/>
  </w:num>
  <w:num w:numId="21">
    <w:abstractNumId w:val="10"/>
  </w:num>
  <w:num w:numId="22">
    <w:abstractNumId w:val="21"/>
  </w:num>
  <w:num w:numId="23">
    <w:abstractNumId w:val="8"/>
  </w:num>
  <w:num w:numId="24">
    <w:abstractNumId w:val="7"/>
  </w:num>
  <w:num w:numId="25">
    <w:abstractNumId w:val="16"/>
  </w:num>
  <w:num w:numId="26">
    <w:abstractNumId w:val="2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2384B"/>
    <w:rsid w:val="000241AE"/>
    <w:rsid w:val="00031D59"/>
    <w:rsid w:val="00034228"/>
    <w:rsid w:val="000652C4"/>
    <w:rsid w:val="0006722D"/>
    <w:rsid w:val="000856D2"/>
    <w:rsid w:val="000862A5"/>
    <w:rsid w:val="000A2AFB"/>
    <w:rsid w:val="000A67A9"/>
    <w:rsid w:val="000B6B65"/>
    <w:rsid w:val="000C627E"/>
    <w:rsid w:val="000E3F50"/>
    <w:rsid w:val="000E6A8A"/>
    <w:rsid w:val="000F114F"/>
    <w:rsid w:val="000F34B1"/>
    <w:rsid w:val="00100254"/>
    <w:rsid w:val="001060BE"/>
    <w:rsid w:val="001115BD"/>
    <w:rsid w:val="001226D7"/>
    <w:rsid w:val="001228DD"/>
    <w:rsid w:val="00124118"/>
    <w:rsid w:val="00135A38"/>
    <w:rsid w:val="00143CA2"/>
    <w:rsid w:val="00157113"/>
    <w:rsid w:val="00163BBE"/>
    <w:rsid w:val="001641F6"/>
    <w:rsid w:val="001660DA"/>
    <w:rsid w:val="00166CF9"/>
    <w:rsid w:val="001879ED"/>
    <w:rsid w:val="00191C97"/>
    <w:rsid w:val="00193781"/>
    <w:rsid w:val="00197937"/>
    <w:rsid w:val="001A155B"/>
    <w:rsid w:val="001A42B3"/>
    <w:rsid w:val="001B1FA5"/>
    <w:rsid w:val="001C5934"/>
    <w:rsid w:val="001C675B"/>
    <w:rsid w:val="001C7568"/>
    <w:rsid w:val="001D2ECE"/>
    <w:rsid w:val="001D68C2"/>
    <w:rsid w:val="001E4605"/>
    <w:rsid w:val="001F79CA"/>
    <w:rsid w:val="002103D1"/>
    <w:rsid w:val="00212449"/>
    <w:rsid w:val="00230712"/>
    <w:rsid w:val="00234A3F"/>
    <w:rsid w:val="00241353"/>
    <w:rsid w:val="00246E9C"/>
    <w:rsid w:val="00255891"/>
    <w:rsid w:val="00287349"/>
    <w:rsid w:val="0029658C"/>
    <w:rsid w:val="002B35E1"/>
    <w:rsid w:val="002C7460"/>
    <w:rsid w:val="002E6D01"/>
    <w:rsid w:val="002F023A"/>
    <w:rsid w:val="002F591D"/>
    <w:rsid w:val="003056B9"/>
    <w:rsid w:val="00306DC1"/>
    <w:rsid w:val="00326116"/>
    <w:rsid w:val="00360824"/>
    <w:rsid w:val="00366BAA"/>
    <w:rsid w:val="003903A2"/>
    <w:rsid w:val="00392AF0"/>
    <w:rsid w:val="003C15A1"/>
    <w:rsid w:val="003C7825"/>
    <w:rsid w:val="003E0877"/>
    <w:rsid w:val="003E2864"/>
    <w:rsid w:val="003F26CA"/>
    <w:rsid w:val="003F40EC"/>
    <w:rsid w:val="00423326"/>
    <w:rsid w:val="00432932"/>
    <w:rsid w:val="00441333"/>
    <w:rsid w:val="00451483"/>
    <w:rsid w:val="00474240"/>
    <w:rsid w:val="00485AA1"/>
    <w:rsid w:val="004A5D66"/>
    <w:rsid w:val="004B1725"/>
    <w:rsid w:val="004B17D5"/>
    <w:rsid w:val="004B711D"/>
    <w:rsid w:val="004C1540"/>
    <w:rsid w:val="004C37E6"/>
    <w:rsid w:val="004F651F"/>
    <w:rsid w:val="00527F38"/>
    <w:rsid w:val="00550077"/>
    <w:rsid w:val="00565699"/>
    <w:rsid w:val="00567086"/>
    <w:rsid w:val="005700F9"/>
    <w:rsid w:val="00596D27"/>
    <w:rsid w:val="005A146C"/>
    <w:rsid w:val="005A3503"/>
    <w:rsid w:val="005B1BC5"/>
    <w:rsid w:val="005C2FAD"/>
    <w:rsid w:val="005D3FB0"/>
    <w:rsid w:val="005E49C8"/>
    <w:rsid w:val="00653C25"/>
    <w:rsid w:val="00672B0D"/>
    <w:rsid w:val="00674DEB"/>
    <w:rsid w:val="00676931"/>
    <w:rsid w:val="00683F8B"/>
    <w:rsid w:val="00691BE5"/>
    <w:rsid w:val="006B1A09"/>
    <w:rsid w:val="006D2882"/>
    <w:rsid w:val="00727290"/>
    <w:rsid w:val="00735152"/>
    <w:rsid w:val="00757D2E"/>
    <w:rsid w:val="0076263D"/>
    <w:rsid w:val="00771675"/>
    <w:rsid w:val="00792E46"/>
    <w:rsid w:val="00794154"/>
    <w:rsid w:val="007A34D2"/>
    <w:rsid w:val="007B627D"/>
    <w:rsid w:val="007D2AD5"/>
    <w:rsid w:val="007E38A2"/>
    <w:rsid w:val="007F74B0"/>
    <w:rsid w:val="008117CC"/>
    <w:rsid w:val="00831C44"/>
    <w:rsid w:val="00843B3F"/>
    <w:rsid w:val="00855968"/>
    <w:rsid w:val="0086402A"/>
    <w:rsid w:val="00873DE1"/>
    <w:rsid w:val="00876C95"/>
    <w:rsid w:val="008922EF"/>
    <w:rsid w:val="00892901"/>
    <w:rsid w:val="008B3480"/>
    <w:rsid w:val="008C2D93"/>
    <w:rsid w:val="008F1A23"/>
    <w:rsid w:val="008F341E"/>
    <w:rsid w:val="008F6A41"/>
    <w:rsid w:val="0090558D"/>
    <w:rsid w:val="00921BD7"/>
    <w:rsid w:val="00931FEC"/>
    <w:rsid w:val="00936BEF"/>
    <w:rsid w:val="00953AE5"/>
    <w:rsid w:val="00961634"/>
    <w:rsid w:val="00963A39"/>
    <w:rsid w:val="00971CB5"/>
    <w:rsid w:val="00980780"/>
    <w:rsid w:val="009A7F07"/>
    <w:rsid w:val="009E1DFF"/>
    <w:rsid w:val="009E31F1"/>
    <w:rsid w:val="009E7AC8"/>
    <w:rsid w:val="009F6B7B"/>
    <w:rsid w:val="00A0247C"/>
    <w:rsid w:val="00A07130"/>
    <w:rsid w:val="00A13432"/>
    <w:rsid w:val="00A246C3"/>
    <w:rsid w:val="00A26A68"/>
    <w:rsid w:val="00A30516"/>
    <w:rsid w:val="00A368BA"/>
    <w:rsid w:val="00A52371"/>
    <w:rsid w:val="00A65F50"/>
    <w:rsid w:val="00A72A1D"/>
    <w:rsid w:val="00A75622"/>
    <w:rsid w:val="00A86CD2"/>
    <w:rsid w:val="00A966FC"/>
    <w:rsid w:val="00AA30E1"/>
    <w:rsid w:val="00AB19F5"/>
    <w:rsid w:val="00AB367E"/>
    <w:rsid w:val="00AB438C"/>
    <w:rsid w:val="00AB73CC"/>
    <w:rsid w:val="00AC2B27"/>
    <w:rsid w:val="00AC2D36"/>
    <w:rsid w:val="00AF2F6B"/>
    <w:rsid w:val="00AF5E43"/>
    <w:rsid w:val="00B06E26"/>
    <w:rsid w:val="00B20B16"/>
    <w:rsid w:val="00B227FA"/>
    <w:rsid w:val="00B30BCE"/>
    <w:rsid w:val="00B357F9"/>
    <w:rsid w:val="00B41403"/>
    <w:rsid w:val="00B61DF7"/>
    <w:rsid w:val="00B95476"/>
    <w:rsid w:val="00B956DF"/>
    <w:rsid w:val="00BC726B"/>
    <w:rsid w:val="00BE0B1B"/>
    <w:rsid w:val="00BF0B56"/>
    <w:rsid w:val="00BF3ADB"/>
    <w:rsid w:val="00BF638D"/>
    <w:rsid w:val="00C02F03"/>
    <w:rsid w:val="00C443E5"/>
    <w:rsid w:val="00C46ED8"/>
    <w:rsid w:val="00C50DF9"/>
    <w:rsid w:val="00C86148"/>
    <w:rsid w:val="00C92945"/>
    <w:rsid w:val="00CA639B"/>
    <w:rsid w:val="00CC175F"/>
    <w:rsid w:val="00CF78F0"/>
    <w:rsid w:val="00D00213"/>
    <w:rsid w:val="00D14482"/>
    <w:rsid w:val="00D63233"/>
    <w:rsid w:val="00D81688"/>
    <w:rsid w:val="00D945B0"/>
    <w:rsid w:val="00DA2652"/>
    <w:rsid w:val="00DA367C"/>
    <w:rsid w:val="00DA6490"/>
    <w:rsid w:val="00DA6A5B"/>
    <w:rsid w:val="00DD3043"/>
    <w:rsid w:val="00DE46F0"/>
    <w:rsid w:val="00DF036F"/>
    <w:rsid w:val="00DF5F07"/>
    <w:rsid w:val="00E014E4"/>
    <w:rsid w:val="00E01D6E"/>
    <w:rsid w:val="00E01E4F"/>
    <w:rsid w:val="00E07D0A"/>
    <w:rsid w:val="00E23C96"/>
    <w:rsid w:val="00E3506B"/>
    <w:rsid w:val="00E42864"/>
    <w:rsid w:val="00E54343"/>
    <w:rsid w:val="00E60B2E"/>
    <w:rsid w:val="00E624D5"/>
    <w:rsid w:val="00EA40C5"/>
    <w:rsid w:val="00EB6B56"/>
    <w:rsid w:val="00EB6E63"/>
    <w:rsid w:val="00EC5F74"/>
    <w:rsid w:val="00ED65AD"/>
    <w:rsid w:val="00EF35F4"/>
    <w:rsid w:val="00F00945"/>
    <w:rsid w:val="00F206AE"/>
    <w:rsid w:val="00F21A58"/>
    <w:rsid w:val="00F369EB"/>
    <w:rsid w:val="00F4444A"/>
    <w:rsid w:val="00F56541"/>
    <w:rsid w:val="00FB21B7"/>
    <w:rsid w:val="00FD3BAD"/>
    <w:rsid w:val="00FD3EA4"/>
    <w:rsid w:val="00FE6899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DE93D6"/>
  <w15:chartTrackingRefBased/>
  <w15:docId w15:val="{A38EEDC4-8C06-4889-8D32-DF1B643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237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0"/>
    <w:next w:val="a0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0"/>
    <w:next w:val="a0"/>
    <w:link w:val="20"/>
    <w:autoRedefine/>
    <w:qFormat/>
    <w:rsid w:val="00A52371"/>
    <w:pPr>
      <w:widowControl w:val="0"/>
      <w:spacing w:after="0" w:line="240" w:lineRule="auto"/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aliases w:val="H3,Level 1 - 1,Заголовок подпукта (1.1.1),o"/>
    <w:basedOn w:val="a0"/>
    <w:next w:val="a0"/>
    <w:link w:val="30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0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0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0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0"/>
    <w:next w:val="a0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0"/>
    <w:next w:val="a0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0"/>
    <w:next w:val="a0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1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1"/>
    <w:link w:val="2"/>
    <w:rsid w:val="00A52371"/>
    <w:rPr>
      <w:rFonts w:ascii="Garamond" w:eastAsia="Times New Roman" w:hAnsi="Garamond" w:cs="Times New Roman"/>
      <w:b/>
      <w:bCs/>
      <w:sz w:val="26"/>
      <w:szCs w:val="26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4">
    <w:name w:val="Body Text"/>
    <w:basedOn w:val="a0"/>
    <w:link w:val="a5"/>
    <w:uiPriority w:val="99"/>
    <w:rsid w:val="00A52371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A52371"/>
    <w:rPr>
      <w:rFonts w:ascii="Calibri" w:eastAsia="Times New Roman" w:hAnsi="Calibri" w:cs="Times New Roman"/>
    </w:rPr>
  </w:style>
  <w:style w:type="paragraph" w:styleId="a6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0"/>
    <w:link w:val="a8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0"/>
    <w:uiPriority w:val="34"/>
    <w:qFormat/>
    <w:rsid w:val="00A52371"/>
    <w:pPr>
      <w:ind w:left="720"/>
      <w:contextualSpacing/>
    </w:pPr>
  </w:style>
  <w:style w:type="character" w:styleId="aa">
    <w:name w:val="Placeholder Text"/>
    <w:basedOn w:val="a1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0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0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0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1"/>
    <w:uiPriority w:val="99"/>
    <w:semiHidden/>
    <w:unhideWhenUsed/>
    <w:rsid w:val="001115BD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1115B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1115BD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B1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B1B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0"/>
    <w:rsid w:val="00BE0B1B"/>
    <w:pPr>
      <w:ind w:left="720"/>
      <w:contextualSpacing/>
    </w:pPr>
  </w:style>
  <w:style w:type="paragraph" w:customStyle="1" w:styleId="a">
    <w:name w:val="Список с маркерами"/>
    <w:basedOn w:val="a0"/>
    <w:next w:val="a0"/>
    <w:autoRedefine/>
    <w:rsid w:val="0076263D"/>
    <w:pPr>
      <w:keepNext/>
      <w:keepLines/>
      <w:numPr>
        <w:numId w:val="22"/>
      </w:numPr>
      <w:tabs>
        <w:tab w:val="left" w:pos="1260"/>
      </w:tabs>
      <w:spacing w:before="60" w:after="0" w:line="240" w:lineRule="auto"/>
      <w:jc w:val="both"/>
    </w:pPr>
    <w:rPr>
      <w:rFonts w:ascii="Times New Roman CYR" w:hAnsi="Times New Roman CYR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E807-C6D6-4F62-8B70-7773A4E0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79</cp:revision>
  <dcterms:created xsi:type="dcterms:W3CDTF">2022-12-15T09:26:00Z</dcterms:created>
  <dcterms:modified xsi:type="dcterms:W3CDTF">2024-04-19T19:35:00Z</dcterms:modified>
</cp:coreProperties>
</file>