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9950E" w14:textId="18A72F3D" w:rsidR="00384EBD" w:rsidRDefault="00384EBD" w:rsidP="008C4D78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6F5666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27F80611" w14:textId="77777777" w:rsidR="008C4D78" w:rsidRDefault="008C4D78" w:rsidP="008C4D78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710D74B1" w14:textId="0CA1621C" w:rsidR="00384EBD" w:rsidRDefault="00384EBD" w:rsidP="00384EB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 w:rsidRPr="003E4CF3">
        <w:rPr>
          <w:rFonts w:ascii="Garamond" w:hAnsi="Garamond"/>
          <w:b/>
          <w:sz w:val="28"/>
          <w:szCs w:val="28"/>
        </w:rPr>
        <w:t>Приложение № 1.</w:t>
      </w:r>
      <w:r w:rsidR="006F5666">
        <w:rPr>
          <w:rFonts w:ascii="Garamond" w:hAnsi="Garamond"/>
          <w:b/>
          <w:sz w:val="28"/>
          <w:szCs w:val="28"/>
        </w:rPr>
        <w:t>2</w:t>
      </w:r>
      <w:r w:rsidR="00E84AD5">
        <w:rPr>
          <w:rFonts w:ascii="Garamond" w:hAnsi="Garamond"/>
          <w:b/>
          <w:sz w:val="28"/>
          <w:szCs w:val="28"/>
        </w:rPr>
        <w:t>.1</w:t>
      </w:r>
      <w:r w:rsidR="00637118">
        <w:rPr>
          <w:rFonts w:ascii="Garamond" w:hAnsi="Garamond"/>
          <w:b/>
          <w:sz w:val="28"/>
          <w:szCs w:val="28"/>
        </w:rPr>
        <w:t xml:space="preserve"> </w:t>
      </w:r>
    </w:p>
    <w:p w14:paraId="2C42A52F" w14:textId="77777777" w:rsidR="008C4D78" w:rsidRDefault="008C4D78" w:rsidP="00384EB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30BA97F4" w14:textId="6CFAA713" w:rsidR="009C4F34" w:rsidRPr="00381289" w:rsidRDefault="009C4F34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381289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 w:rsidRPr="00381289">
        <w:rPr>
          <w:rFonts w:ascii="Garamond" w:hAnsi="Garamond"/>
          <w:sz w:val="24"/>
          <w:szCs w:val="24"/>
        </w:rPr>
        <w:t>Ассоциация «НП Совет рынка».</w:t>
      </w:r>
    </w:p>
    <w:p w14:paraId="66E8750B" w14:textId="06E29F00" w:rsidR="009C4F34" w:rsidRPr="00381289" w:rsidRDefault="009C4F34" w:rsidP="0023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b/>
          <w:sz w:val="24"/>
          <w:szCs w:val="24"/>
        </w:rPr>
        <w:t xml:space="preserve">Обоснование: </w:t>
      </w:r>
      <w:r w:rsidRPr="00381289">
        <w:rPr>
          <w:rFonts w:ascii="Garamond" w:hAnsi="Garamond"/>
          <w:color w:val="000000"/>
          <w:sz w:val="24"/>
          <w:szCs w:val="24"/>
        </w:rPr>
        <w:t>предлагается внести</w:t>
      </w:r>
      <w:r w:rsidR="00B65E97" w:rsidRPr="00381289">
        <w:rPr>
          <w:rFonts w:ascii="Garamond" w:hAnsi="Garamond"/>
          <w:color w:val="000000"/>
          <w:sz w:val="24"/>
          <w:szCs w:val="24"/>
        </w:rPr>
        <w:t xml:space="preserve"> изменения в</w:t>
      </w:r>
      <w:r w:rsidRPr="00381289">
        <w:rPr>
          <w:rFonts w:ascii="Garamond" w:hAnsi="Garamond"/>
          <w:color w:val="000000"/>
          <w:sz w:val="24"/>
          <w:szCs w:val="24"/>
        </w:rPr>
        <w:t xml:space="preserve"> </w:t>
      </w:r>
      <w:r w:rsidR="00840F05" w:rsidRPr="00381289">
        <w:rPr>
          <w:rFonts w:ascii="Garamond" w:hAnsi="Garamond"/>
          <w:color w:val="000000"/>
          <w:sz w:val="24"/>
          <w:szCs w:val="24"/>
        </w:rPr>
        <w:t>с</w:t>
      </w:r>
      <w:r w:rsidR="00BB496A" w:rsidRPr="00381289">
        <w:rPr>
          <w:rFonts w:ascii="Garamond" w:hAnsi="Garamond"/>
          <w:color w:val="000000"/>
          <w:sz w:val="24"/>
          <w:szCs w:val="24"/>
        </w:rPr>
        <w:t xml:space="preserve">тандартную форму Договора о присоединении </w:t>
      </w:r>
      <w:r w:rsidR="00AB72C1" w:rsidRPr="00381289">
        <w:rPr>
          <w:rFonts w:ascii="Garamond" w:hAnsi="Garamond"/>
          <w:color w:val="000000"/>
          <w:sz w:val="24"/>
          <w:szCs w:val="24"/>
        </w:rPr>
        <w:t xml:space="preserve">к торговой системе оптового рынка и </w:t>
      </w:r>
      <w:r w:rsidR="00840F05" w:rsidRPr="00381289">
        <w:rPr>
          <w:rFonts w:ascii="Garamond" w:hAnsi="Garamond"/>
          <w:color w:val="000000"/>
          <w:sz w:val="24"/>
          <w:szCs w:val="24"/>
        </w:rPr>
        <w:t>р</w:t>
      </w:r>
      <w:r w:rsidRPr="00381289">
        <w:rPr>
          <w:rFonts w:ascii="Garamond" w:hAnsi="Garamond"/>
          <w:color w:val="000000"/>
          <w:sz w:val="24"/>
          <w:szCs w:val="24"/>
        </w:rPr>
        <w:t>егламенты оптового рынка, приводящие их в соответствие с</w:t>
      </w:r>
      <w:r w:rsidR="00231B54" w:rsidRPr="00381289">
        <w:rPr>
          <w:rFonts w:ascii="Garamond" w:hAnsi="Garamond"/>
          <w:color w:val="000000"/>
          <w:sz w:val="24"/>
          <w:szCs w:val="24"/>
        </w:rPr>
        <w:t xml:space="preserve"> </w:t>
      </w:r>
      <w:r w:rsidR="001539FF" w:rsidRPr="00381289">
        <w:rPr>
          <w:rFonts w:ascii="Garamond" w:hAnsi="Garamond"/>
          <w:color w:val="000000"/>
          <w:sz w:val="24"/>
          <w:szCs w:val="24"/>
        </w:rPr>
        <w:t xml:space="preserve">положениями </w:t>
      </w:r>
      <w:r w:rsidR="00381289">
        <w:rPr>
          <w:rFonts w:ascii="Garamond" w:hAnsi="Garamond"/>
          <w:color w:val="000000"/>
          <w:sz w:val="24"/>
          <w:szCs w:val="24"/>
        </w:rPr>
        <w:t>п</w:t>
      </w:r>
      <w:r w:rsidR="00231B54" w:rsidRPr="00381289">
        <w:rPr>
          <w:rFonts w:ascii="Garamond" w:hAnsi="Garamond"/>
          <w:color w:val="000000"/>
          <w:sz w:val="24"/>
          <w:szCs w:val="24"/>
        </w:rPr>
        <w:t>остановлени</w:t>
      </w:r>
      <w:r w:rsidR="001539FF" w:rsidRPr="00381289">
        <w:rPr>
          <w:rFonts w:ascii="Garamond" w:hAnsi="Garamond"/>
          <w:color w:val="000000"/>
          <w:sz w:val="24"/>
          <w:szCs w:val="24"/>
        </w:rPr>
        <w:t>я</w:t>
      </w:r>
      <w:r w:rsidR="00231B54" w:rsidRPr="00381289">
        <w:rPr>
          <w:rFonts w:ascii="Garamond" w:hAnsi="Garamond"/>
          <w:color w:val="000000"/>
          <w:sz w:val="24"/>
          <w:szCs w:val="24"/>
        </w:rPr>
        <w:t xml:space="preserve"> Правительства Российской Федерации от 12.04.2024 № 461 </w:t>
      </w:r>
      <w:r w:rsidR="00840F05" w:rsidRPr="00381289">
        <w:rPr>
          <w:rFonts w:ascii="Garamond" w:hAnsi="Garamond"/>
          <w:color w:val="000000"/>
          <w:sz w:val="24"/>
          <w:szCs w:val="24"/>
        </w:rPr>
        <w:t>«</w:t>
      </w:r>
      <w:r w:rsidR="00231B54" w:rsidRPr="00381289">
        <w:rPr>
          <w:rFonts w:ascii="Garamond" w:hAnsi="Garamond"/>
          <w:color w:val="000000"/>
          <w:sz w:val="24"/>
          <w:szCs w:val="24"/>
        </w:rPr>
        <w:t>О 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</w:t>
      </w:r>
      <w:r w:rsidR="00840F05" w:rsidRPr="00381289">
        <w:rPr>
          <w:rFonts w:ascii="Garamond" w:hAnsi="Garamond"/>
          <w:color w:val="000000"/>
          <w:sz w:val="24"/>
          <w:szCs w:val="24"/>
        </w:rPr>
        <w:t>ю изменением режима потребления»</w:t>
      </w:r>
      <w:r w:rsidRPr="00381289">
        <w:rPr>
          <w:rFonts w:ascii="Garamond" w:hAnsi="Garamond"/>
          <w:color w:val="000000"/>
          <w:sz w:val="24"/>
          <w:szCs w:val="24"/>
        </w:rPr>
        <w:t>, устанавливающего правовое регулирование обращения в рамках торговой системы оптового рынка электрической энергии и мощности услуг по управлению изменением режима потребления электрической энергии.</w:t>
      </w:r>
    </w:p>
    <w:p w14:paraId="5CF095E7" w14:textId="53CFB6D0" w:rsidR="009C4F34" w:rsidRPr="00381289" w:rsidRDefault="009C4F34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>Вносимые изменения предусматривают:</w:t>
      </w:r>
    </w:p>
    <w:p w14:paraId="74999498" w14:textId="5A8A49DD" w:rsidR="00224C14" w:rsidRPr="00381289" w:rsidRDefault="00224C14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>– определение особенностей проведения краткосрочного отбора ресурса на 3 и 4 квартал 2024 года;</w:t>
      </w:r>
    </w:p>
    <w:p w14:paraId="06408D63" w14:textId="1F9533D2" w:rsidR="002C117A" w:rsidRPr="00381289" w:rsidRDefault="002C117A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 xml:space="preserve">– уточнение </w:t>
      </w:r>
      <w:r w:rsidR="00381289">
        <w:rPr>
          <w:rFonts w:ascii="Garamond" w:hAnsi="Garamond"/>
          <w:color w:val="000000"/>
          <w:sz w:val="24"/>
          <w:szCs w:val="24"/>
        </w:rPr>
        <w:t>с</w:t>
      </w:r>
      <w:r w:rsidRPr="00381289">
        <w:rPr>
          <w:rFonts w:ascii="Garamond" w:hAnsi="Garamond"/>
          <w:color w:val="000000"/>
          <w:sz w:val="24"/>
          <w:szCs w:val="24"/>
        </w:rPr>
        <w:t>тандартной формы Договора оказания услуг по управлению изменением режима потребления электрической энергии в части особенностей для договоров, заключаемых ФСК, а также в части уточнения порядка отказа исполнителя от исполнения договора и определения величины денежной суммы, подлежащей оплате за такой отказ;</w:t>
      </w:r>
    </w:p>
    <w:p w14:paraId="5B9FE8EA" w14:textId="2CE35C1A" w:rsidR="00AC124A" w:rsidRPr="00381289" w:rsidRDefault="00AC124A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>– установление порядка заключения договоров оказания услуг по управлению изменением режима потребления электрической энергии;</w:t>
      </w:r>
    </w:p>
    <w:p w14:paraId="700899F9" w14:textId="5066C9E2" w:rsidR="002C117A" w:rsidRPr="00381289" w:rsidRDefault="002C117A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>– утверждение Регламента коммерческого представительства на оптовом рынке;</w:t>
      </w:r>
    </w:p>
    <w:p w14:paraId="1EF7DE59" w14:textId="62A5256C" w:rsidR="00600505" w:rsidRPr="00381289" w:rsidRDefault="00600505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 xml:space="preserve">– </w:t>
      </w:r>
      <w:r w:rsidR="0037053A" w:rsidRPr="00381289">
        <w:rPr>
          <w:rFonts w:ascii="Garamond" w:hAnsi="Garamond"/>
          <w:color w:val="000000"/>
          <w:sz w:val="24"/>
          <w:szCs w:val="24"/>
        </w:rPr>
        <w:t xml:space="preserve">определение </w:t>
      </w:r>
      <w:r w:rsidRPr="00381289">
        <w:rPr>
          <w:rFonts w:ascii="Garamond" w:hAnsi="Garamond"/>
          <w:color w:val="000000"/>
          <w:sz w:val="24"/>
          <w:szCs w:val="24"/>
        </w:rPr>
        <w:t xml:space="preserve">порядка расчета КО новой составляющей предельных уровней нерегулируемых цен – средневзвешенной цены услуг по управлению изменением режима потребления электрической энергии; </w:t>
      </w:r>
    </w:p>
    <w:p w14:paraId="0919F3A4" w14:textId="6E51FC2B" w:rsidR="008E5322" w:rsidRPr="00381289" w:rsidRDefault="00244FF5" w:rsidP="00FD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 xml:space="preserve">– </w:t>
      </w:r>
      <w:r w:rsidR="0037053A" w:rsidRPr="00381289">
        <w:rPr>
          <w:rFonts w:ascii="Garamond" w:hAnsi="Garamond"/>
          <w:color w:val="000000"/>
          <w:sz w:val="24"/>
          <w:szCs w:val="24"/>
        </w:rPr>
        <w:t xml:space="preserve">определение </w:t>
      </w:r>
      <w:r w:rsidR="00600505" w:rsidRPr="00381289">
        <w:rPr>
          <w:rFonts w:ascii="Garamond" w:hAnsi="Garamond"/>
          <w:color w:val="000000"/>
          <w:sz w:val="24"/>
          <w:szCs w:val="24"/>
        </w:rPr>
        <w:t>порядка расчета КО расчетной стоимости иных услуг, оказание которых является неотъемлемой частью процесса поставки электрической энергии потребителям, в целях ее применения гарантирующими поставщиками для расчета платы за иные услуги</w:t>
      </w:r>
      <w:r w:rsidR="008E5322" w:rsidRPr="00381289">
        <w:rPr>
          <w:rFonts w:ascii="Garamond" w:hAnsi="Garamond"/>
          <w:color w:val="000000"/>
          <w:sz w:val="24"/>
          <w:szCs w:val="24"/>
        </w:rPr>
        <w:t>;</w:t>
      </w:r>
    </w:p>
    <w:p w14:paraId="53E70883" w14:textId="77777777" w:rsidR="00AC124A" w:rsidRPr="00381289" w:rsidRDefault="00AC124A" w:rsidP="00AC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>– определение порядка расчета стоимости услуг КО в части организации исполнения услуг по управлению изменением режима потребления, а также порядка расчета неустойки (пени) за нарушение сроков оплаты данных услуг КО;</w:t>
      </w:r>
    </w:p>
    <w:p w14:paraId="5A43E8EB" w14:textId="613E67EC" w:rsidR="00AC124A" w:rsidRPr="00381289" w:rsidRDefault="00AC124A" w:rsidP="00AC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>– учет исполнителей услуг по управлению изменением режима потребления в порядке взаимодействия и проведения расчетов с субъектами оптового рынка, в отношении которых ЦФР выявлены сведения о ликвидации;</w:t>
      </w:r>
    </w:p>
    <w:p w14:paraId="6C9083CE" w14:textId="0157721A" w:rsidR="005B1282" w:rsidRPr="00381289" w:rsidRDefault="0037053A" w:rsidP="00FD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 xml:space="preserve">– </w:t>
      </w:r>
      <w:r w:rsidR="00002A02" w:rsidRPr="00381289">
        <w:rPr>
          <w:rFonts w:ascii="Garamond" w:hAnsi="Garamond"/>
          <w:color w:val="000000"/>
          <w:sz w:val="24"/>
          <w:szCs w:val="24"/>
        </w:rPr>
        <w:t xml:space="preserve">дополнение </w:t>
      </w:r>
      <w:r w:rsidRPr="00381289">
        <w:rPr>
          <w:rFonts w:ascii="Garamond" w:hAnsi="Garamond"/>
          <w:color w:val="000000"/>
          <w:sz w:val="24"/>
          <w:szCs w:val="24"/>
        </w:rPr>
        <w:t>перечня предоставляемой гарантирующими поставщиками информации сведения</w:t>
      </w:r>
      <w:r w:rsidR="00002A02" w:rsidRPr="00381289">
        <w:rPr>
          <w:rFonts w:ascii="Garamond" w:hAnsi="Garamond"/>
          <w:color w:val="000000"/>
          <w:sz w:val="24"/>
          <w:szCs w:val="24"/>
        </w:rPr>
        <w:t>ми</w:t>
      </w:r>
      <w:r w:rsidRPr="00381289">
        <w:rPr>
          <w:rFonts w:ascii="Garamond" w:hAnsi="Garamond"/>
          <w:color w:val="000000"/>
          <w:sz w:val="24"/>
          <w:szCs w:val="24"/>
        </w:rPr>
        <w:t xml:space="preserve"> о плате за услугу по управлению изменением режима потребления</w:t>
      </w:r>
      <w:r w:rsidR="00456E3B" w:rsidRPr="00381289">
        <w:rPr>
          <w:rFonts w:ascii="Garamond" w:hAnsi="Garamond"/>
          <w:color w:val="000000"/>
          <w:sz w:val="24"/>
          <w:szCs w:val="24"/>
        </w:rPr>
        <w:t>;</w:t>
      </w:r>
    </w:p>
    <w:p w14:paraId="27BA23FC" w14:textId="50246878" w:rsidR="002667F6" w:rsidRPr="00381289" w:rsidRDefault="00456E3B" w:rsidP="00AC0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 xml:space="preserve">– уточнение </w:t>
      </w:r>
      <w:r w:rsidR="00AC0F31" w:rsidRPr="00381289">
        <w:rPr>
          <w:rFonts w:ascii="Garamond" w:hAnsi="Garamond"/>
          <w:color w:val="000000"/>
          <w:sz w:val="24"/>
          <w:szCs w:val="24"/>
        </w:rPr>
        <w:t xml:space="preserve">порядка регистрации объектов регулирования и </w:t>
      </w:r>
      <w:r w:rsidRPr="00381289">
        <w:rPr>
          <w:rFonts w:ascii="Garamond" w:hAnsi="Garamond"/>
          <w:color w:val="000000"/>
          <w:sz w:val="24"/>
          <w:szCs w:val="24"/>
        </w:rPr>
        <w:t>требований к заполнению форм</w:t>
      </w:r>
      <w:r w:rsidR="00AC0F31" w:rsidRPr="00381289">
        <w:rPr>
          <w:rFonts w:ascii="Garamond" w:hAnsi="Garamond"/>
          <w:color w:val="000000"/>
          <w:sz w:val="24"/>
          <w:szCs w:val="24"/>
        </w:rPr>
        <w:t>, предоставляемых в целях регистрации (изменения) объектов регулирования</w:t>
      </w:r>
      <w:r w:rsidRPr="00381289">
        <w:rPr>
          <w:rFonts w:ascii="Garamond" w:hAnsi="Garamond"/>
          <w:color w:val="000000"/>
          <w:sz w:val="24"/>
          <w:szCs w:val="24"/>
        </w:rPr>
        <w:t>;</w:t>
      </w:r>
    </w:p>
    <w:p w14:paraId="7F4C9839" w14:textId="3B0792A6" w:rsidR="00FD0B16" w:rsidRPr="00381289" w:rsidRDefault="005B1282" w:rsidP="00FD0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381289">
        <w:rPr>
          <w:rFonts w:ascii="Garamond" w:hAnsi="Garamond"/>
          <w:color w:val="000000"/>
          <w:sz w:val="24"/>
          <w:szCs w:val="24"/>
        </w:rPr>
        <w:t>–</w:t>
      </w:r>
      <w:r w:rsidR="00AC0F31" w:rsidRPr="00381289">
        <w:rPr>
          <w:rFonts w:ascii="Garamond" w:hAnsi="Garamond"/>
          <w:color w:val="000000"/>
          <w:sz w:val="24"/>
          <w:szCs w:val="24"/>
        </w:rPr>
        <w:t xml:space="preserve"> </w:t>
      </w:r>
      <w:r w:rsidR="007C49AD" w:rsidRPr="00381289">
        <w:rPr>
          <w:rFonts w:ascii="Garamond" w:hAnsi="Garamond"/>
          <w:color w:val="000000"/>
          <w:sz w:val="24"/>
          <w:szCs w:val="24"/>
        </w:rPr>
        <w:t>изменени</w:t>
      </w:r>
      <w:r w:rsidR="00AC0F31" w:rsidRPr="00381289">
        <w:rPr>
          <w:rFonts w:ascii="Garamond" w:hAnsi="Garamond"/>
          <w:color w:val="000000"/>
          <w:sz w:val="24"/>
          <w:szCs w:val="24"/>
        </w:rPr>
        <w:t xml:space="preserve">я в части </w:t>
      </w:r>
      <w:r w:rsidRPr="00381289">
        <w:rPr>
          <w:rFonts w:ascii="Garamond" w:hAnsi="Garamond"/>
          <w:color w:val="000000"/>
          <w:sz w:val="24"/>
          <w:szCs w:val="24"/>
        </w:rPr>
        <w:t>форм</w:t>
      </w:r>
      <w:r w:rsidR="00AC0F31" w:rsidRPr="00381289">
        <w:rPr>
          <w:rFonts w:ascii="Garamond" w:hAnsi="Garamond"/>
          <w:color w:val="000000"/>
          <w:sz w:val="24"/>
          <w:szCs w:val="24"/>
        </w:rPr>
        <w:t xml:space="preserve"> документов</w:t>
      </w:r>
      <w:r w:rsidRPr="00381289">
        <w:rPr>
          <w:rFonts w:ascii="Garamond" w:hAnsi="Garamond"/>
          <w:color w:val="000000"/>
          <w:sz w:val="24"/>
          <w:szCs w:val="24"/>
        </w:rPr>
        <w:t>, обращающихся в системе ЭДО</w:t>
      </w:r>
      <w:r w:rsidR="00E40182" w:rsidRPr="00381289">
        <w:rPr>
          <w:rFonts w:ascii="Garamond" w:hAnsi="Garamond"/>
          <w:color w:val="000000"/>
          <w:sz w:val="24"/>
          <w:szCs w:val="24"/>
        </w:rPr>
        <w:t xml:space="preserve">, а также </w:t>
      </w:r>
      <w:r w:rsidR="00AC0F31" w:rsidRPr="00381289">
        <w:rPr>
          <w:rFonts w:ascii="Garamond" w:hAnsi="Garamond"/>
          <w:color w:val="000000"/>
          <w:sz w:val="24"/>
          <w:szCs w:val="24"/>
        </w:rPr>
        <w:t xml:space="preserve">изменения </w:t>
      </w:r>
      <w:r w:rsidR="00E40182" w:rsidRPr="00381289">
        <w:rPr>
          <w:rFonts w:ascii="Garamond" w:hAnsi="Garamond"/>
          <w:color w:val="000000"/>
          <w:sz w:val="24"/>
          <w:szCs w:val="24"/>
        </w:rPr>
        <w:t xml:space="preserve">в </w:t>
      </w:r>
      <w:r w:rsidR="00AC0F31" w:rsidRPr="00381289">
        <w:rPr>
          <w:rFonts w:ascii="Garamond" w:hAnsi="Garamond"/>
          <w:color w:val="000000"/>
          <w:sz w:val="24"/>
          <w:szCs w:val="24"/>
        </w:rPr>
        <w:t>п</w:t>
      </w:r>
      <w:r w:rsidR="00E40182" w:rsidRPr="00381289">
        <w:rPr>
          <w:rFonts w:ascii="Garamond" w:hAnsi="Garamond"/>
          <w:color w:val="000000"/>
          <w:sz w:val="24"/>
          <w:szCs w:val="24"/>
        </w:rPr>
        <w:t>еречн</w:t>
      </w:r>
      <w:r w:rsidR="00AC0F31" w:rsidRPr="00381289">
        <w:rPr>
          <w:rFonts w:ascii="Garamond" w:hAnsi="Garamond"/>
          <w:color w:val="000000"/>
          <w:sz w:val="24"/>
          <w:szCs w:val="24"/>
        </w:rPr>
        <w:t>е</w:t>
      </w:r>
      <w:r w:rsidR="00E40182" w:rsidRPr="00381289">
        <w:rPr>
          <w:rFonts w:ascii="Garamond" w:hAnsi="Garamond"/>
          <w:color w:val="000000"/>
          <w:sz w:val="24"/>
          <w:szCs w:val="24"/>
        </w:rPr>
        <w:t xml:space="preserve"> определений и принятых сокращений</w:t>
      </w:r>
      <w:r w:rsidR="00FD0B16" w:rsidRPr="00381289">
        <w:rPr>
          <w:rFonts w:ascii="Garamond" w:hAnsi="Garamond"/>
          <w:color w:val="000000"/>
          <w:sz w:val="24"/>
          <w:szCs w:val="24"/>
        </w:rPr>
        <w:t>.</w:t>
      </w:r>
    </w:p>
    <w:p w14:paraId="65FD24C3" w14:textId="1A5FD4E0" w:rsidR="009C4F34" w:rsidRPr="00381289" w:rsidRDefault="009C4F34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 w:rsidRPr="00381289">
        <w:rPr>
          <w:rFonts w:ascii="Garamond" w:hAnsi="Garamond"/>
          <w:color w:val="000000"/>
          <w:sz w:val="24"/>
          <w:szCs w:val="24"/>
        </w:rPr>
        <w:t xml:space="preserve">Также предлагается внести в </w:t>
      </w:r>
      <w:r w:rsidR="00840F05" w:rsidRPr="00381289">
        <w:rPr>
          <w:rFonts w:ascii="Garamond" w:hAnsi="Garamond"/>
          <w:color w:val="000000"/>
          <w:sz w:val="24"/>
          <w:szCs w:val="24"/>
        </w:rPr>
        <w:t>р</w:t>
      </w:r>
      <w:r w:rsidRPr="00381289">
        <w:rPr>
          <w:rFonts w:ascii="Garamond" w:hAnsi="Garamond"/>
          <w:color w:val="000000"/>
          <w:sz w:val="24"/>
          <w:szCs w:val="24"/>
        </w:rPr>
        <w:t>егламенты оптового рынка изменения уточняющего и технического характера.</w:t>
      </w:r>
    </w:p>
    <w:p w14:paraId="13C7D1B8" w14:textId="075D3BCB" w:rsidR="00384EBD" w:rsidRPr="00381289" w:rsidRDefault="00384EBD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381289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381289">
        <w:rPr>
          <w:rFonts w:ascii="Garamond" w:hAnsi="Garamond"/>
          <w:bCs/>
          <w:sz w:val="24"/>
          <w:szCs w:val="24"/>
        </w:rPr>
        <w:t xml:space="preserve"> </w:t>
      </w:r>
      <w:r w:rsidRPr="00381289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с </w:t>
      </w:r>
      <w:r w:rsidR="00231B54" w:rsidRPr="00381289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23 апреля 2024 года и </w:t>
      </w:r>
      <w:r w:rsidR="001539FF" w:rsidRPr="00381289">
        <w:rPr>
          <w:rFonts w:ascii="Garamond" w:eastAsia="Times New Roman" w:hAnsi="Garamond" w:cs="Garamond"/>
          <w:bCs/>
          <w:sz w:val="24"/>
          <w:szCs w:val="24"/>
          <w:lang w:eastAsia="ru-RU"/>
        </w:rPr>
        <w:t>распространяют свое действие на отношения сторон по Договору о присоединении к торговой системе оптового рынка</w:t>
      </w:r>
      <w:r w:rsidR="00D3034F" w:rsidRPr="00381289">
        <w:rPr>
          <w:rFonts w:ascii="Garamond" w:eastAsia="Times New Roman" w:hAnsi="Garamond" w:cs="Garamond"/>
          <w:bCs/>
          <w:sz w:val="24"/>
          <w:szCs w:val="24"/>
          <w:lang w:eastAsia="ru-RU"/>
        </w:rPr>
        <w:t>, возникшие</w:t>
      </w:r>
      <w:r w:rsidR="001539FF" w:rsidRPr="00381289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</w:t>
      </w:r>
      <w:r w:rsidR="00231B54" w:rsidRPr="00381289">
        <w:rPr>
          <w:rFonts w:ascii="Garamond" w:eastAsia="Times New Roman" w:hAnsi="Garamond" w:cs="Garamond"/>
          <w:bCs/>
          <w:sz w:val="24"/>
          <w:szCs w:val="24"/>
          <w:lang w:eastAsia="ru-RU"/>
        </w:rPr>
        <w:t>с 12 апреля 2024 года</w:t>
      </w:r>
      <w:r w:rsidRPr="00381289"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14:paraId="73C54AEB" w14:textId="59FDD9C4" w:rsidR="00384EBD" w:rsidRDefault="00384EBD" w:rsidP="00384EBD">
      <w:pPr>
        <w:widowControl w:val="0"/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bookmarkEnd w:id="0"/>
    <w:bookmarkEnd w:id="1"/>
    <w:bookmarkEnd w:id="2"/>
    <w:bookmarkEnd w:id="3"/>
    <w:bookmarkEnd w:id="4"/>
    <w:p w14:paraId="2E1CFF85" w14:textId="29836790" w:rsidR="00BB496A" w:rsidRDefault="00BB496A" w:rsidP="00381289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  <w:r w:rsidRPr="00BB496A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 СТАНДАРТНУЮ ФОРМУ ДОГОВОРА О ПРИСОЕДИНЕНИИ К ТОРГОВОЙ СИСТЕМЕ ОПТОВОГО РЫНКА</w:t>
      </w:r>
    </w:p>
    <w:p w14:paraId="3128B569" w14:textId="5338627C" w:rsidR="00BB496A" w:rsidRDefault="00BB496A" w:rsidP="00BB496A">
      <w:pPr>
        <w:spacing w:after="0" w:line="240" w:lineRule="auto"/>
        <w:jc w:val="both"/>
        <w:rPr>
          <w:rFonts w:ascii="Garamond" w:eastAsia="Batang" w:hAnsi="Garamond"/>
          <w:b/>
          <w:bCs/>
          <w:sz w:val="26"/>
          <w:szCs w:val="26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2"/>
        <w:gridCol w:w="7373"/>
        <w:gridCol w:w="6509"/>
      </w:tblGrid>
      <w:tr w:rsidR="00AB72C1" w:rsidRPr="00200B5D" w14:paraId="4A321A3E" w14:textId="77777777" w:rsidTr="00A8401D">
        <w:trPr>
          <w:trHeight w:val="435"/>
        </w:trPr>
        <w:tc>
          <w:tcPr>
            <w:tcW w:w="38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6CC8A8" w14:textId="77777777" w:rsidR="00AB72C1" w:rsidRPr="00200B5D" w:rsidRDefault="00AB72C1" w:rsidP="00A8401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val="en-GB" w:eastAsia="ru-RU"/>
              </w:rPr>
            </w:pPr>
            <w:r w:rsidRPr="00200B5D">
              <w:rPr>
                <w:rFonts w:ascii="Garamond" w:eastAsia="Times New Roman" w:hAnsi="Garamond" w:cs="Garamond"/>
                <w:b/>
                <w:bCs/>
                <w:lang w:val="en-GB" w:eastAsia="ru-RU"/>
              </w:rPr>
              <w:t>№</w:t>
            </w:r>
          </w:p>
          <w:p w14:paraId="725A93F8" w14:textId="77777777" w:rsidR="00AB72C1" w:rsidRPr="00200B5D" w:rsidRDefault="00AB72C1" w:rsidP="00A8401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val="en-GB" w:eastAsia="ru-RU"/>
              </w:rPr>
            </w:pPr>
            <w:proofErr w:type="spellStart"/>
            <w:r w:rsidRPr="00200B5D">
              <w:rPr>
                <w:rFonts w:ascii="Garamond" w:eastAsia="Times New Roman" w:hAnsi="Garamond" w:cs="Garamond"/>
                <w:b/>
                <w:bCs/>
                <w:lang w:val="en-GB" w:eastAsia="ru-RU"/>
              </w:rPr>
              <w:t>пункта</w:t>
            </w:r>
            <w:proofErr w:type="spellEnd"/>
          </w:p>
        </w:tc>
        <w:tc>
          <w:tcPr>
            <w:tcW w:w="2449" w:type="pct"/>
            <w:shd w:val="clear" w:color="auto" w:fill="auto"/>
            <w:vAlign w:val="center"/>
          </w:tcPr>
          <w:p w14:paraId="17EB811D" w14:textId="77777777" w:rsidR="00AB72C1" w:rsidRPr="00200B5D" w:rsidRDefault="00AB72C1" w:rsidP="00A8401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00B5D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40C4FE4A" w14:textId="77777777" w:rsidR="00AB72C1" w:rsidRPr="00200B5D" w:rsidRDefault="00AB72C1" w:rsidP="00A8401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00B5D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162" w:type="pct"/>
            <w:shd w:val="clear" w:color="auto" w:fill="auto"/>
            <w:vAlign w:val="center"/>
          </w:tcPr>
          <w:p w14:paraId="605C4508" w14:textId="77777777" w:rsidR="00AB72C1" w:rsidRPr="00200B5D" w:rsidRDefault="00AB72C1" w:rsidP="00A8401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00B5D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4ED1302D" w14:textId="77777777" w:rsidR="00AB72C1" w:rsidRPr="00200B5D" w:rsidRDefault="00AB72C1" w:rsidP="00A8401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00B5D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442EC7" w:rsidRPr="00200B5D" w14:paraId="77741A4D" w14:textId="77777777" w:rsidTr="00FC3A49">
        <w:trPr>
          <w:trHeight w:val="435"/>
        </w:trPr>
        <w:tc>
          <w:tcPr>
            <w:tcW w:w="38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25ABF0" w14:textId="2C157BAC" w:rsidR="00442EC7" w:rsidRPr="00AB72C1" w:rsidRDefault="00381289" w:rsidP="00442EC7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hAnsi="Garamond"/>
                <w:b/>
                <w:bCs/>
              </w:rPr>
              <w:t>8.2.17</w:t>
            </w:r>
          </w:p>
        </w:tc>
        <w:tc>
          <w:tcPr>
            <w:tcW w:w="2449" w:type="pct"/>
            <w:shd w:val="clear" w:color="auto" w:fill="auto"/>
          </w:tcPr>
          <w:p w14:paraId="02A5452E" w14:textId="77777777" w:rsidR="00442EC7" w:rsidRDefault="00442EC7" w:rsidP="0038128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1"/>
              <w:jc w:val="both"/>
              <w:textAlignment w:val="baselin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проведение мониторинга сведений о банкротствах </w:t>
            </w:r>
            <w:r w:rsidRPr="00442EC7">
              <w:rPr>
                <w:rFonts w:ascii="Garamond" w:hAnsi="Garamond"/>
                <w:highlight w:val="yellow"/>
              </w:rPr>
              <w:t>субъектов оптового рынка, являющихся участниками оптового рынка и (или) исполнителями услуг по</w:t>
            </w:r>
            <w:r w:rsidRPr="00442EC7">
              <w:rPr>
                <w:rFonts w:ascii="Garamond" w:hAnsi="Garamond"/>
                <w:highlight w:val="yellow"/>
                <w:lang w:eastAsia="ru-RU"/>
              </w:rPr>
              <w:t xml:space="preserve"> управлению изменением режима потребления электрической энергии</w:t>
            </w:r>
            <w:r>
              <w:rPr>
                <w:rFonts w:ascii="Garamond" w:hAnsi="Garamond"/>
                <w:lang w:eastAsia="ru-RU"/>
              </w:rPr>
              <w:t>,</w:t>
            </w:r>
            <w:r>
              <w:rPr>
                <w:rFonts w:ascii="Garamond" w:hAnsi="Garamond"/>
              </w:rPr>
              <w:t xml:space="preserve"> а также сведений, подлежащих опубликованию в соответствии с законодательством Российской Федерации о государственной регистрации юридических лиц, в соответствии с </w:t>
            </w:r>
            <w:r>
              <w:rPr>
                <w:rFonts w:ascii="Garamond" w:hAnsi="Garamond"/>
                <w:i/>
              </w:rPr>
              <w:t>Регламентом финансовых расчетов на оптовом рынке электроэнергии</w:t>
            </w:r>
            <w:r>
              <w:rPr>
                <w:rFonts w:ascii="Garamond" w:hAnsi="Garamond"/>
              </w:rPr>
              <w:t xml:space="preserve"> (Приложение № 16 к настоящему Договору) </w:t>
            </w:r>
          </w:p>
          <w:p w14:paraId="79F4658D" w14:textId="77777777" w:rsidR="00442EC7" w:rsidRPr="00200B5D" w:rsidRDefault="00442EC7" w:rsidP="00381289">
            <w:pPr>
              <w:widowControl w:val="0"/>
              <w:spacing w:before="120" w:after="12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</w:p>
        </w:tc>
        <w:tc>
          <w:tcPr>
            <w:tcW w:w="2162" w:type="pct"/>
            <w:shd w:val="clear" w:color="auto" w:fill="auto"/>
            <w:vAlign w:val="center"/>
          </w:tcPr>
          <w:p w14:paraId="112299D4" w14:textId="776A2F3E" w:rsidR="00442EC7" w:rsidRPr="00200B5D" w:rsidRDefault="00442EC7" w:rsidP="00381289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hAnsi="Garamond"/>
              </w:rPr>
              <w:t>проведение мониторинга сведений о банкротствах</w:t>
            </w:r>
            <w:r>
              <w:rPr>
                <w:rFonts w:ascii="Garamond" w:hAnsi="Garamond"/>
                <w:lang w:eastAsia="ru-RU"/>
              </w:rPr>
              <w:t>,</w:t>
            </w:r>
            <w:r>
              <w:rPr>
                <w:rFonts w:ascii="Garamond" w:hAnsi="Garamond"/>
              </w:rPr>
              <w:t xml:space="preserve"> а также сведений, подлежащих опубликованию в соответствии с законодательством Российской Федерации о государственной регистрации юридических лиц, в соответствии с </w:t>
            </w:r>
            <w:r>
              <w:rPr>
                <w:rFonts w:ascii="Garamond" w:hAnsi="Garamond"/>
                <w:i/>
                <w:iCs/>
              </w:rPr>
              <w:t>Регламентом финансовых расчетов на оптовом рынке электроэнергии</w:t>
            </w:r>
            <w:r>
              <w:rPr>
                <w:rFonts w:ascii="Garamond" w:hAnsi="Garamond"/>
              </w:rPr>
              <w:t xml:space="preserve"> (Приложение № 16 к настоящему Договору) </w:t>
            </w:r>
            <w:r w:rsidRPr="001F0427">
              <w:rPr>
                <w:rFonts w:ascii="Garamond" w:hAnsi="Garamond"/>
                <w:highlight w:val="yellow"/>
              </w:rPr>
              <w:t xml:space="preserve">в отношении субъектов </w:t>
            </w:r>
            <w:r w:rsidRPr="00442EC7">
              <w:rPr>
                <w:rFonts w:ascii="Garamond" w:hAnsi="Garamond"/>
                <w:highlight w:val="yellow"/>
              </w:rPr>
              <w:t>оптового рынка, являющих</w:t>
            </w:r>
            <w:r w:rsidR="006353CE">
              <w:rPr>
                <w:rFonts w:ascii="Garamond" w:hAnsi="Garamond"/>
                <w:highlight w:val="yellow"/>
              </w:rPr>
              <w:t>ся участниками оптового рынка и (</w:t>
            </w:r>
            <w:r w:rsidRPr="00442EC7">
              <w:rPr>
                <w:rFonts w:ascii="Garamond" w:hAnsi="Garamond"/>
                <w:highlight w:val="yellow"/>
              </w:rPr>
              <w:t>или</w:t>
            </w:r>
            <w:r w:rsidR="006353CE">
              <w:rPr>
                <w:rFonts w:ascii="Garamond" w:hAnsi="Garamond"/>
                <w:highlight w:val="yellow"/>
              </w:rPr>
              <w:t>)</w:t>
            </w:r>
            <w:r w:rsidRPr="00442EC7">
              <w:rPr>
                <w:rFonts w:ascii="Garamond" w:hAnsi="Garamond"/>
                <w:highlight w:val="yellow"/>
              </w:rPr>
              <w:t xml:space="preserve"> исполнителями услуг по</w:t>
            </w:r>
            <w:r w:rsidRPr="00442EC7">
              <w:rPr>
                <w:rFonts w:ascii="Garamond" w:hAnsi="Garamond"/>
                <w:highlight w:val="yellow"/>
                <w:lang w:eastAsia="ru-RU"/>
              </w:rPr>
              <w:t xml:space="preserve"> управлению изменением режима потребления электрической энергии;</w:t>
            </w:r>
          </w:p>
        </w:tc>
      </w:tr>
    </w:tbl>
    <w:p w14:paraId="74BDBD88" w14:textId="1F6E0DC3" w:rsidR="00AB72C1" w:rsidRDefault="00AB72C1" w:rsidP="00B65E97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1B535940" w14:textId="77777777" w:rsidR="00C14DCB" w:rsidRDefault="00C14DCB" w:rsidP="00C14DCB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97470E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97470E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97470E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tbl>
      <w:tblPr>
        <w:tblpPr w:leftFromText="180" w:rightFromText="180" w:vertAnchor="text" w:horzAnchor="margin" w:tblpY="156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7087"/>
        <w:gridCol w:w="6946"/>
      </w:tblGrid>
      <w:tr w:rsidR="00C14DCB" w:rsidRPr="00B25B12" w14:paraId="5096635B" w14:textId="77777777" w:rsidTr="00EB5266">
        <w:trPr>
          <w:trHeight w:val="435"/>
        </w:trPr>
        <w:tc>
          <w:tcPr>
            <w:tcW w:w="846" w:type="dxa"/>
            <w:vAlign w:val="center"/>
          </w:tcPr>
          <w:p w14:paraId="76CC1256" w14:textId="77777777" w:rsidR="00C14DCB" w:rsidRPr="00B25B12" w:rsidRDefault="00C14DCB" w:rsidP="00C14DC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0DE856AB" w14:textId="77777777" w:rsidR="00C14DCB" w:rsidRPr="00B25B12" w:rsidRDefault="00C14DCB" w:rsidP="00C14DCB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7087" w:type="dxa"/>
            <w:vAlign w:val="center"/>
          </w:tcPr>
          <w:p w14:paraId="2551A77A" w14:textId="77777777" w:rsidR="00C14DCB" w:rsidRPr="00B25B12" w:rsidRDefault="00C14DCB" w:rsidP="00C14DC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4892C67E" w14:textId="77777777" w:rsidR="00C14DCB" w:rsidRPr="00B25B12" w:rsidRDefault="00C14DCB" w:rsidP="00C14DC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41D59B14" w14:textId="391ED8C4" w:rsidR="00C14DCB" w:rsidRPr="00B25B12" w:rsidRDefault="00C14DCB" w:rsidP="00C14DC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Предлагаем</w:t>
            </w:r>
            <w:r w:rsidR="00791BE9">
              <w:rPr>
                <w:rFonts w:ascii="Garamond" w:eastAsiaTheme="minorHAnsi" w:hAnsi="Garamond" w:cs="Calibri"/>
                <w:b/>
              </w:rPr>
              <w:t>ая</w:t>
            </w:r>
            <w:r w:rsidRPr="00B25B12">
              <w:rPr>
                <w:rFonts w:ascii="Garamond" w:eastAsiaTheme="minorHAnsi" w:hAnsi="Garamond" w:cs="Calibri"/>
                <w:b/>
              </w:rPr>
              <w:t xml:space="preserve"> </w:t>
            </w:r>
            <w:r w:rsidR="00791BE9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3AAB16CC" w14:textId="77777777" w:rsidR="00C14DCB" w:rsidRPr="00B25B12" w:rsidRDefault="00C14DCB" w:rsidP="00C14DC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B25B12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C14DCB" w:rsidRPr="00B25B12" w14:paraId="28578A9D" w14:textId="77777777" w:rsidTr="00EB5266">
        <w:trPr>
          <w:trHeight w:val="435"/>
        </w:trPr>
        <w:tc>
          <w:tcPr>
            <w:tcW w:w="846" w:type="dxa"/>
            <w:vAlign w:val="center"/>
          </w:tcPr>
          <w:p w14:paraId="346E6C55" w14:textId="77777777" w:rsidR="00C14DCB" w:rsidRDefault="00C14DCB" w:rsidP="00C14DC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 w:cs="Garamond"/>
                <w:b/>
                <w:bCs/>
              </w:rPr>
              <w:t>24</w:t>
            </w:r>
          </w:p>
        </w:tc>
        <w:tc>
          <w:tcPr>
            <w:tcW w:w="7087" w:type="dxa"/>
          </w:tcPr>
          <w:p w14:paraId="0B3EBD4B" w14:textId="77777777" w:rsidR="00C14DCB" w:rsidRPr="00792625" w:rsidRDefault="00C14DCB" w:rsidP="00586976">
            <w:pPr>
              <w:widowControl w:val="0"/>
              <w:spacing w:before="120" w:after="120" w:line="240" w:lineRule="auto"/>
              <w:ind w:left="809"/>
              <w:jc w:val="center"/>
              <w:outlineLvl w:val="2"/>
              <w:rPr>
                <w:rFonts w:ascii="Garamond" w:hAnsi="Garamond"/>
                <w:b/>
              </w:rPr>
            </w:pPr>
            <w:bookmarkStart w:id="5" w:name="_Toc157626187"/>
            <w:r>
              <w:rPr>
                <w:rFonts w:ascii="Garamond" w:eastAsia="Times New Roman" w:hAnsi="Garamond" w:cs="Garamond"/>
                <w:b/>
                <w:caps/>
                <w:color w:val="000000"/>
                <w:kern w:val="28"/>
              </w:rPr>
              <w:t xml:space="preserve">ПОРЯДОК ВЗАИМОДЕЙСТВИЯ И ПРОВЕДЕНИЯ РАСЧЕТОВ С </w:t>
            </w:r>
            <w:r w:rsidRPr="007008CF">
              <w:rPr>
                <w:rFonts w:ascii="Garamond" w:eastAsia="Times New Roman" w:hAnsi="Garamond" w:cs="Garamond"/>
                <w:b/>
                <w:caps/>
                <w:color w:val="000000"/>
                <w:kern w:val="28"/>
                <w:highlight w:val="yellow"/>
              </w:rPr>
              <w:t>УЧАСТНИКАМИ</w:t>
            </w:r>
            <w:r>
              <w:rPr>
                <w:rFonts w:ascii="Garamond" w:eastAsia="Times New Roman" w:hAnsi="Garamond" w:cs="Garamond"/>
                <w:b/>
                <w:caps/>
                <w:color w:val="000000"/>
                <w:kern w:val="28"/>
              </w:rPr>
              <w:t xml:space="preserve"> ОПТОВОГО РЫНКА, В ОТНОШЕНИИ КОТОРЫХ ЦФР ВЫЯВЛЕНЫ СВЕДЕНИЯ О ЛИКВИДАЦИИ</w:t>
            </w:r>
            <w:bookmarkEnd w:id="5"/>
          </w:p>
        </w:tc>
        <w:tc>
          <w:tcPr>
            <w:tcW w:w="6946" w:type="dxa"/>
          </w:tcPr>
          <w:p w14:paraId="00F09382" w14:textId="77777777" w:rsidR="00C14DCB" w:rsidRPr="00792625" w:rsidRDefault="00C14DCB" w:rsidP="00586976">
            <w:pPr>
              <w:widowControl w:val="0"/>
              <w:spacing w:before="120" w:after="120" w:line="240" w:lineRule="auto"/>
              <w:ind w:left="809"/>
              <w:jc w:val="center"/>
              <w:outlineLvl w:val="2"/>
              <w:rPr>
                <w:rFonts w:ascii="Garamond" w:hAnsi="Garamond"/>
                <w:b/>
              </w:rPr>
            </w:pPr>
            <w:r>
              <w:rPr>
                <w:rFonts w:ascii="Garamond" w:eastAsia="Times New Roman" w:hAnsi="Garamond" w:cs="Garamond"/>
                <w:b/>
                <w:caps/>
                <w:color w:val="000000"/>
                <w:kern w:val="28"/>
              </w:rPr>
              <w:t xml:space="preserve">ПОРЯДОК ВЗАИМОДЕЙСТВИЯ И ПРОВЕДЕНИЯ РАСЧЕТОВ С </w:t>
            </w:r>
            <w:r w:rsidRPr="007008CF">
              <w:rPr>
                <w:rFonts w:ascii="Garamond" w:eastAsia="Times New Roman" w:hAnsi="Garamond" w:cs="Garamond"/>
                <w:b/>
                <w:caps/>
                <w:color w:val="000000"/>
                <w:kern w:val="28"/>
                <w:highlight w:val="yellow"/>
              </w:rPr>
              <w:t>СУБЪЕКТАМИ</w:t>
            </w:r>
            <w:r>
              <w:rPr>
                <w:rFonts w:ascii="Garamond" w:eastAsia="Times New Roman" w:hAnsi="Garamond" w:cs="Garamond"/>
                <w:b/>
                <w:caps/>
                <w:color w:val="000000"/>
                <w:kern w:val="28"/>
              </w:rPr>
              <w:t xml:space="preserve"> ОПТОВОГО РЫНКА, В ОТНОШЕНИИ КОТОРЫХ ЦФР ВЫЯВЛЕНЫ СВЕДЕНИЯ О ЛИКВИДАЦИИ</w:t>
            </w:r>
          </w:p>
        </w:tc>
      </w:tr>
      <w:tr w:rsidR="00C14DCB" w:rsidRPr="00B25B12" w14:paraId="55C697F0" w14:textId="77777777" w:rsidTr="00EB5266">
        <w:trPr>
          <w:trHeight w:val="435"/>
        </w:trPr>
        <w:tc>
          <w:tcPr>
            <w:tcW w:w="846" w:type="dxa"/>
            <w:vAlign w:val="center"/>
          </w:tcPr>
          <w:p w14:paraId="416D7F34" w14:textId="77777777" w:rsidR="00C14DCB" w:rsidRDefault="00C14DCB" w:rsidP="00C14DC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 w:cs="Garamond"/>
                <w:b/>
                <w:bCs/>
              </w:rPr>
              <w:t>24</w:t>
            </w:r>
            <w:r>
              <w:rPr>
                <w:rFonts w:ascii="Garamond" w:hAnsi="Garamond" w:cs="Garamond"/>
                <w:b/>
                <w:bCs/>
                <w:lang w:val="en-US"/>
              </w:rPr>
              <w:t>.1</w:t>
            </w:r>
          </w:p>
        </w:tc>
        <w:tc>
          <w:tcPr>
            <w:tcW w:w="7087" w:type="dxa"/>
          </w:tcPr>
          <w:p w14:paraId="20B5CEE3" w14:textId="77777777" w:rsidR="00C14DCB" w:rsidRPr="00395FE4" w:rsidRDefault="00C14DCB" w:rsidP="00EB5266">
            <w:pPr>
              <w:pStyle w:val="13"/>
              <w:tabs>
                <w:tab w:val="left" w:pos="1134"/>
              </w:tabs>
              <w:spacing w:before="120" w:after="120"/>
              <w:ind w:left="0" w:firstLine="59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95FE4">
              <w:rPr>
                <w:rFonts w:ascii="Garamond" w:hAnsi="Garamond"/>
                <w:sz w:val="22"/>
                <w:szCs w:val="22"/>
              </w:rPr>
              <w:t xml:space="preserve">ЦФР осуществляет мониторинг сведений в отношении </w:t>
            </w:r>
            <w:r w:rsidRPr="00395FE4">
              <w:rPr>
                <w:rFonts w:ascii="Garamond" w:hAnsi="Garamond"/>
                <w:sz w:val="22"/>
                <w:szCs w:val="22"/>
                <w:highlight w:val="yellow"/>
              </w:rPr>
              <w:t>участников оптового рынка (в том числе в отношении участников оптового рынка, лишенных статуса субъекта оптового рынка</w:t>
            </w:r>
            <w:r w:rsidRPr="00395FE4">
              <w:rPr>
                <w:rFonts w:ascii="Garamond" w:hAnsi="Garamond"/>
                <w:sz w:val="22"/>
                <w:szCs w:val="22"/>
              </w:rPr>
              <w:t xml:space="preserve"> и имеющих задолженность по оплате обязательств/требований на оптовом рынке), подлежащих опубликованию в соответствии с законодательством Российской Федерации о государственной регистрации юридических лиц в журнале «Вестник государственной регистрации», и мониторинг записей, содержащихся в Едином государственном реестре юридических лиц, по </w:t>
            </w:r>
            <w:r w:rsidRPr="00395FE4">
              <w:rPr>
                <w:rFonts w:ascii="Garamond" w:hAnsi="Garamond"/>
                <w:sz w:val="22"/>
                <w:szCs w:val="22"/>
              </w:rPr>
              <w:lastRenderedPageBreak/>
              <w:t>результату опубликования в журнале «Вестник государственной регистрации» касательно:</w:t>
            </w:r>
          </w:p>
          <w:p w14:paraId="79CEA64A" w14:textId="77777777" w:rsidR="00C14DCB" w:rsidRPr="00395FE4" w:rsidRDefault="00C14DCB" w:rsidP="00C14DCB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сообщений о принятии организацией решения о ее ликвидации;</w:t>
            </w:r>
          </w:p>
          <w:p w14:paraId="07CE5E32" w14:textId="77777777" w:rsidR="00C14DCB" w:rsidRPr="00395FE4" w:rsidRDefault="00C14DCB" w:rsidP="00C14DCB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сведений о начале процесса ликвидации юридических лиц;</w:t>
            </w:r>
          </w:p>
          <w:p w14:paraId="13005AA4" w14:textId="77777777" w:rsidR="00C14DCB" w:rsidRPr="00395FE4" w:rsidRDefault="00C14DCB" w:rsidP="00C14DCB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сведений о государственной регистрации юридических лиц в связи с их ликвидацией;</w:t>
            </w:r>
          </w:p>
          <w:p w14:paraId="0FA1FB15" w14:textId="77777777" w:rsidR="00C14DCB" w:rsidRPr="00395FE4" w:rsidRDefault="00C14DCB" w:rsidP="00C14DCB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сведений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лиц;</w:t>
            </w:r>
          </w:p>
          <w:p w14:paraId="5429FC44" w14:textId="77777777" w:rsidR="00C14DCB" w:rsidRPr="00395FE4" w:rsidRDefault="00C14DCB" w:rsidP="00C14DCB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сведений об исключении из Единого государственного реестра юридических лиц недействующих юридических лиц.</w:t>
            </w:r>
          </w:p>
          <w:p w14:paraId="69BF99E9" w14:textId="538CDA49" w:rsidR="00C14DCB" w:rsidRPr="00395FE4" w:rsidRDefault="00C14DCB" w:rsidP="00C14DCB">
            <w:pPr>
              <w:spacing w:before="120" w:after="120"/>
              <w:ind w:firstLine="551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 xml:space="preserve">Не позднее следующего рабочего дня после дня получения ЦФР опубликованной в электронной версии журнала «Вестник государственной регистрации» информации о сведениях, указанных в подп. 1–5 настоящего пункта, в отношении </w:t>
            </w:r>
            <w:r w:rsidRPr="00395FE4">
              <w:rPr>
                <w:rFonts w:ascii="Garamond" w:eastAsia="Times New Roman" w:hAnsi="Garamond"/>
                <w:highlight w:val="yellow"/>
              </w:rPr>
              <w:t>участников оптового рынка (в том числе участников оптового рынка, лишенных статуса субъекта оптового рынка</w:t>
            </w:r>
            <w:r w:rsidRPr="00395FE4">
              <w:rPr>
                <w:rFonts w:ascii="Garamond" w:eastAsia="Times New Roman" w:hAnsi="Garamond"/>
              </w:rPr>
              <w:t xml:space="preserve"> и имеющих задолженность по оплате обязательств/требований на оптовом рынке) ЦФР публикует данную информацию на сайте ЦФР, а также передает ее в электронном виде с применением ЭП Совету рынка и АО «АТС» в соответствии с приложением 113в к настоящему Регламенту.</w:t>
            </w:r>
          </w:p>
          <w:p w14:paraId="19C0E824" w14:textId="59B0808A" w:rsidR="00395FE4" w:rsidRDefault="00C14DCB" w:rsidP="00EB5266">
            <w:pPr>
              <w:spacing w:before="120" w:after="120" w:line="256" w:lineRule="auto"/>
              <w:ind w:firstLine="551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 xml:space="preserve">В случае внесения федеральным органом исполнительной власти, уполномоченным осуществлять государственную регистрацию (далее – регистрирующий орган), в отношении </w:t>
            </w:r>
            <w:r w:rsidRPr="00395FE4">
              <w:rPr>
                <w:rFonts w:ascii="Garamond" w:eastAsia="Times New Roman" w:hAnsi="Garamond"/>
                <w:highlight w:val="yellow"/>
              </w:rPr>
              <w:t>участника оптового рынка (в том числе участника оптового рынка, лишенного статуса субъекта оптового рынка</w:t>
            </w:r>
            <w:r w:rsidRPr="00395FE4">
              <w:rPr>
                <w:rFonts w:ascii="Garamond" w:eastAsia="Times New Roman" w:hAnsi="Garamond"/>
              </w:rPr>
              <w:t xml:space="preserve"> и имеющего задолженность по оплате обязательств/требований на оптовом рынке) записи в Единый государственный реестр юридических лиц по результату опубликования в журнале «Вестник государственной регистрации» сведений, указанных в подп. 1–5 настоящего пункта, ЦФР публикует данную информацию на сайте ЦФР, а также передает ее в электронном виде с применением ЭП Совету рынка и АО «АТС» в соответствии с приложением 113в к настоящему Регламенту.</w:t>
            </w:r>
          </w:p>
          <w:p w14:paraId="3A7BFC17" w14:textId="1896778F" w:rsidR="00C14DCB" w:rsidRPr="00395FE4" w:rsidRDefault="00C14DCB" w:rsidP="00C14DCB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lastRenderedPageBreak/>
              <w:t xml:space="preserve">В случае внесения регистрирующим органом в отношении </w:t>
            </w:r>
            <w:r w:rsidRPr="00395FE4">
              <w:rPr>
                <w:rFonts w:ascii="Garamond" w:eastAsia="Times New Roman" w:hAnsi="Garamond"/>
                <w:highlight w:val="yellow"/>
              </w:rPr>
              <w:t>участника оптового рынка (в том числе участника оптового рынка, лишенного статуса субъекта оптового рынка</w:t>
            </w:r>
            <w:r w:rsidRPr="00395FE4">
              <w:rPr>
                <w:rFonts w:ascii="Garamond" w:eastAsia="Times New Roman" w:hAnsi="Garamond"/>
              </w:rPr>
              <w:t xml:space="preserve"> и имеющего задолженность по оплате обязательств/требований на оптовом рынке) записи в Единый государственный реестр юридических лиц о завершении ликвидации либо об исключении из него недействующего юридического лица, все неисполненные обязательства и требования данного </w:t>
            </w:r>
            <w:r w:rsidRPr="00395FE4">
              <w:rPr>
                <w:rFonts w:ascii="Garamond" w:eastAsia="Times New Roman" w:hAnsi="Garamond"/>
                <w:highlight w:val="yellow"/>
              </w:rPr>
              <w:t>участника оптового рынка (в том числе участника оптового рынка, лишенного статуса субъекта оптового рынка)</w:t>
            </w:r>
            <w:r w:rsidRPr="00395FE4">
              <w:rPr>
                <w:rFonts w:ascii="Garamond" w:eastAsia="Times New Roman" w:hAnsi="Garamond"/>
              </w:rPr>
              <w:t xml:space="preserve"> прекращаются. ЦФР отражает информацию о прекращении обязательств в отчетности, публикуемой в соответствии с разделом 9 настоящего Регламента.</w:t>
            </w:r>
          </w:p>
          <w:p w14:paraId="4182DD97" w14:textId="77777777" w:rsidR="00C14DCB" w:rsidRPr="00395FE4" w:rsidRDefault="00C14DCB" w:rsidP="00C14DCB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 xml:space="preserve">ЦФР публикует уведомление о прекращенных обязательствах по договорам комиссии и купли-продажи, заключенным между участниками оптового рынка и ЦФР, по форме, установленной приложением 2 к настоящему Регламенту, на сайте КО, в разделе с ограниченным в соответствии с Правилами ЭДО СЭД </w:t>
            </w:r>
            <w:proofErr w:type="gramStart"/>
            <w:r w:rsidRPr="00395FE4">
              <w:rPr>
                <w:rFonts w:ascii="Garamond" w:eastAsia="Times New Roman" w:hAnsi="Garamond"/>
              </w:rPr>
              <w:t>КО доступом</w:t>
            </w:r>
            <w:proofErr w:type="gramEnd"/>
            <w:r w:rsidRPr="00395FE4">
              <w:rPr>
                <w:rFonts w:ascii="Garamond" w:eastAsia="Times New Roman" w:hAnsi="Garamond"/>
              </w:rPr>
              <w:t>, с применением ЭП.</w:t>
            </w:r>
          </w:p>
          <w:p w14:paraId="2A48FE43" w14:textId="3988F28A" w:rsidR="00C14DCB" w:rsidRPr="00EB5266" w:rsidRDefault="00C14DCB" w:rsidP="00EB5266">
            <w:pPr>
              <w:pStyle w:val="af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395FE4">
              <w:rPr>
                <w:rFonts w:ascii="Garamond" w:hAnsi="Garamond"/>
                <w:szCs w:val="22"/>
                <w:lang w:val="ru-RU"/>
              </w:rPr>
              <w:t xml:space="preserve">По договорам, стороной по которым является ЦФР, ЦФР указывает отдельной строкой в актах сверки расчетов и в отчете комиссионера информацию об обязательствах, прекращенных в связи с ликвидацией должника, для целей отражения соответствующих данных в бухгалтерском и налоговом учете </w:t>
            </w:r>
            <w:r w:rsidRPr="00395FE4">
              <w:rPr>
                <w:rFonts w:ascii="Garamond" w:hAnsi="Garamond"/>
                <w:szCs w:val="22"/>
                <w:highlight w:val="yellow"/>
                <w:lang w:val="ru-RU"/>
              </w:rPr>
              <w:t>участника оптового рынка (в том числе участника оптового рынка, лишенного статуса субъекта оптового рынка).</w:t>
            </w:r>
          </w:p>
        </w:tc>
        <w:tc>
          <w:tcPr>
            <w:tcW w:w="6946" w:type="dxa"/>
          </w:tcPr>
          <w:p w14:paraId="4D4F132D" w14:textId="77777777" w:rsidR="00C14DCB" w:rsidRPr="00395FE4" w:rsidRDefault="00C14DCB" w:rsidP="00EB5266">
            <w:pPr>
              <w:pStyle w:val="13"/>
              <w:tabs>
                <w:tab w:val="left" w:pos="1134"/>
              </w:tabs>
              <w:spacing w:before="120" w:after="120"/>
              <w:ind w:left="0" w:firstLine="59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95FE4">
              <w:rPr>
                <w:rFonts w:ascii="Garamond" w:hAnsi="Garamond"/>
                <w:sz w:val="22"/>
                <w:szCs w:val="22"/>
              </w:rPr>
              <w:lastRenderedPageBreak/>
              <w:t xml:space="preserve">ЦФР осуществляет мониторинг сведений в отношении </w:t>
            </w:r>
            <w:r w:rsidRPr="00395FE4">
              <w:rPr>
                <w:rFonts w:ascii="Garamond" w:hAnsi="Garamond"/>
                <w:sz w:val="22"/>
                <w:szCs w:val="22"/>
                <w:highlight w:val="yellow"/>
              </w:rPr>
              <w:t>субъектов оптового рынка (в том числе в отношении лишенных статуса субъекта оптового рынка</w:t>
            </w:r>
            <w:r w:rsidRPr="00395FE4">
              <w:rPr>
                <w:rFonts w:ascii="Garamond" w:hAnsi="Garamond"/>
                <w:sz w:val="22"/>
                <w:szCs w:val="22"/>
              </w:rPr>
              <w:t xml:space="preserve"> и имеющих задолженность по оплате обязательств/требований на оптовом рынке), подлежащих опубликованию в соответствии с законодательством Российской Федерации о государственной регистрации юридических лиц в журнале «Вестник государственной регистрации», и мониторинг записей, содержащихся в Едином государственном реестре юридических лиц, по </w:t>
            </w:r>
            <w:r w:rsidRPr="00395FE4">
              <w:rPr>
                <w:rFonts w:ascii="Garamond" w:hAnsi="Garamond"/>
                <w:sz w:val="22"/>
                <w:szCs w:val="22"/>
              </w:rPr>
              <w:lastRenderedPageBreak/>
              <w:t>результату опубликования в журнале «Вестник государственной регистрации» касательно:</w:t>
            </w:r>
          </w:p>
          <w:p w14:paraId="6D9F8015" w14:textId="77777777" w:rsidR="00C14DCB" w:rsidRPr="00395FE4" w:rsidRDefault="00C14DCB" w:rsidP="00C14DCB">
            <w:pPr>
              <w:pStyle w:val="af5"/>
              <w:numPr>
                <w:ilvl w:val="0"/>
                <w:numId w:val="45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395FE4">
              <w:rPr>
                <w:rFonts w:ascii="Garamond" w:hAnsi="Garamond"/>
              </w:rPr>
              <w:t>сообщений о принятии организацией решения о ее ликвидации;</w:t>
            </w:r>
          </w:p>
          <w:p w14:paraId="1B01A48F" w14:textId="77777777" w:rsidR="00C14DCB" w:rsidRPr="00395FE4" w:rsidRDefault="00C14DCB" w:rsidP="00C14DCB">
            <w:pPr>
              <w:numPr>
                <w:ilvl w:val="0"/>
                <w:numId w:val="45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сведений о начале процесса ликвидации юридических лиц;</w:t>
            </w:r>
          </w:p>
          <w:p w14:paraId="2912D067" w14:textId="77777777" w:rsidR="00C14DCB" w:rsidRPr="00395FE4" w:rsidRDefault="00C14DCB" w:rsidP="00C14DCB">
            <w:pPr>
              <w:numPr>
                <w:ilvl w:val="0"/>
                <w:numId w:val="45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сведений о государственной регистрации юридических лиц в связи с их ликвидацией;</w:t>
            </w:r>
          </w:p>
          <w:p w14:paraId="51D1B9B6" w14:textId="77777777" w:rsidR="00C14DCB" w:rsidRPr="00395FE4" w:rsidRDefault="00C14DCB" w:rsidP="00C14DCB">
            <w:pPr>
              <w:numPr>
                <w:ilvl w:val="0"/>
                <w:numId w:val="45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сведений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лиц;</w:t>
            </w:r>
          </w:p>
          <w:p w14:paraId="75CE6117" w14:textId="77777777" w:rsidR="00C14DCB" w:rsidRPr="00395FE4" w:rsidRDefault="00C14DCB" w:rsidP="00C14DCB">
            <w:pPr>
              <w:numPr>
                <w:ilvl w:val="0"/>
                <w:numId w:val="45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>сведений об исключении из Единого государственного реестра юридических лиц недействующих юридических лиц.</w:t>
            </w:r>
          </w:p>
          <w:p w14:paraId="096FB7BB" w14:textId="77777777" w:rsidR="00C14DCB" w:rsidRPr="00395FE4" w:rsidRDefault="00C14DCB" w:rsidP="00C14DCB">
            <w:pPr>
              <w:spacing w:before="120" w:after="120"/>
              <w:ind w:firstLine="551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 xml:space="preserve">Не позднее следующего рабочего дня после дня получения ЦФР опубликованной в электронной версии журнала «Вестник государственной регистрации» информации о сведениях, указанных в подп. 1–5 настоящего пункта, в отношении </w:t>
            </w:r>
            <w:r w:rsidRPr="00395FE4">
              <w:rPr>
                <w:rFonts w:ascii="Garamond" w:hAnsi="Garamond"/>
                <w:highlight w:val="yellow"/>
              </w:rPr>
              <w:t>субъектов оптового рынка (в том числе лишенных статуса субъекта оптового рынка</w:t>
            </w:r>
            <w:r w:rsidRPr="00395FE4">
              <w:rPr>
                <w:rFonts w:ascii="Garamond" w:hAnsi="Garamond"/>
              </w:rPr>
              <w:t xml:space="preserve"> </w:t>
            </w:r>
            <w:r w:rsidRPr="00395FE4">
              <w:rPr>
                <w:rFonts w:ascii="Garamond" w:eastAsia="Times New Roman" w:hAnsi="Garamond"/>
              </w:rPr>
              <w:t>и имеющих задолженность по оплате обязательств/требований на оптовом рынке) ЦФР публикует данную информацию на сайте ЦФР, а также передает ее в электронном виде с применением ЭП Совету рынка и АО «АТС» в соответствии с приложением 113в к настоящему Регламенту.</w:t>
            </w:r>
          </w:p>
          <w:p w14:paraId="1DE82487" w14:textId="77777777" w:rsidR="00C14DCB" w:rsidRPr="00395FE4" w:rsidRDefault="00C14DCB" w:rsidP="00C14DCB">
            <w:pPr>
              <w:spacing w:before="120" w:after="120" w:line="256" w:lineRule="auto"/>
              <w:ind w:firstLine="551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 xml:space="preserve">В случае внесения федеральным органом исполнительной власти, уполномоченным осуществлять государственную регистрацию (далее – регистрирующий орган), в отношении </w:t>
            </w:r>
            <w:r w:rsidRPr="00395FE4">
              <w:rPr>
                <w:rFonts w:ascii="Garamond" w:hAnsi="Garamond"/>
                <w:highlight w:val="yellow"/>
              </w:rPr>
              <w:t>субъекта оптового рынка (в том числе лишенного статуса субъекта оптового рынка</w:t>
            </w:r>
            <w:r w:rsidRPr="00395FE4">
              <w:rPr>
                <w:rFonts w:ascii="Garamond" w:hAnsi="Garamond"/>
              </w:rPr>
              <w:t xml:space="preserve"> </w:t>
            </w:r>
            <w:r w:rsidRPr="00395FE4">
              <w:rPr>
                <w:rFonts w:ascii="Garamond" w:eastAsia="Times New Roman" w:hAnsi="Garamond"/>
              </w:rPr>
              <w:t>и имеющего задолженность по оплате обязательств/требований на оптовом рынке) записи в Единый государственный реестр юридических лиц по результату опубликования в журнале «Вестник государственной регистрации» сведений, указанных в подп. 1–5 настоящего пункта, ЦФР публикует данную информацию на сайте ЦФР, а также передает ее в электронном виде с применением ЭП Совету рынка и АО «АТС» в соответствии с приложением 113в к настоящему Регламенту.</w:t>
            </w:r>
          </w:p>
          <w:p w14:paraId="6DCE0D3B" w14:textId="77777777" w:rsidR="00C14DCB" w:rsidRPr="00395FE4" w:rsidRDefault="00C14DCB" w:rsidP="00C14DCB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lastRenderedPageBreak/>
              <w:t xml:space="preserve">В случае внесения регистрирующим органом в отношении </w:t>
            </w:r>
            <w:r w:rsidRPr="00395FE4">
              <w:rPr>
                <w:rFonts w:ascii="Garamond" w:hAnsi="Garamond"/>
                <w:highlight w:val="yellow"/>
              </w:rPr>
              <w:t>субъекта оптового рынка (в том числе лишенного статуса субъекта оптового рынка</w:t>
            </w:r>
            <w:r w:rsidRPr="00395FE4">
              <w:rPr>
                <w:rFonts w:ascii="Garamond" w:hAnsi="Garamond"/>
              </w:rPr>
              <w:t xml:space="preserve"> </w:t>
            </w:r>
            <w:r w:rsidRPr="00395FE4">
              <w:rPr>
                <w:rFonts w:ascii="Garamond" w:eastAsia="Times New Roman" w:hAnsi="Garamond"/>
              </w:rPr>
              <w:t xml:space="preserve">и имеющего задолженность по оплате обязательств/требований на оптовом рынке) записи в Единый государственный реестр юридических лиц о завершении ликвидации либо об исключении из него недействующего юридического лица, все неисполненные обязательства и требования данного </w:t>
            </w:r>
            <w:r w:rsidRPr="00395FE4">
              <w:rPr>
                <w:rFonts w:ascii="Garamond" w:hAnsi="Garamond"/>
                <w:highlight w:val="yellow"/>
              </w:rPr>
              <w:t>субъекта оптового рынка (в том числе лишенного статуса субъекта оптового рынка</w:t>
            </w:r>
            <w:r w:rsidRPr="00395FE4">
              <w:rPr>
                <w:rFonts w:ascii="Garamond" w:eastAsia="Times New Roman" w:hAnsi="Garamond"/>
                <w:highlight w:val="yellow"/>
              </w:rPr>
              <w:t>)</w:t>
            </w:r>
            <w:r w:rsidRPr="00395FE4">
              <w:rPr>
                <w:rFonts w:ascii="Garamond" w:eastAsia="Times New Roman" w:hAnsi="Garamond"/>
              </w:rPr>
              <w:t xml:space="preserve"> прекращаются. ЦФР отражает информацию о прекращении обязательств в отчетности, публикуемой в соответствии с разделом 9 настоящего Регламента.</w:t>
            </w:r>
          </w:p>
          <w:p w14:paraId="14DE877F" w14:textId="77777777" w:rsidR="00C14DCB" w:rsidRPr="00395FE4" w:rsidRDefault="00C14DCB" w:rsidP="00C14DCB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</w:rPr>
            </w:pPr>
            <w:r w:rsidRPr="00395FE4">
              <w:rPr>
                <w:rFonts w:ascii="Garamond" w:eastAsia="Times New Roman" w:hAnsi="Garamond"/>
              </w:rPr>
              <w:t xml:space="preserve">ЦФР публикует уведомление о прекращенных обязательствах по договорам комиссии и купли-продажи, заключенным между участниками оптового рынка и ЦФР, по форме, установленной приложением 2 к настоящему Регламенту, на сайте КО, в разделе с ограниченным в соответствии с Правилами ЭДО СЭД </w:t>
            </w:r>
            <w:proofErr w:type="gramStart"/>
            <w:r w:rsidRPr="00395FE4">
              <w:rPr>
                <w:rFonts w:ascii="Garamond" w:eastAsia="Times New Roman" w:hAnsi="Garamond"/>
              </w:rPr>
              <w:t>КО доступом</w:t>
            </w:r>
            <w:proofErr w:type="gramEnd"/>
            <w:r w:rsidRPr="00395FE4">
              <w:rPr>
                <w:rFonts w:ascii="Garamond" w:eastAsia="Times New Roman" w:hAnsi="Garamond"/>
              </w:rPr>
              <w:t>, с применением ЭП.</w:t>
            </w:r>
          </w:p>
          <w:p w14:paraId="146DDD11" w14:textId="12F64E13" w:rsidR="00C14DCB" w:rsidRPr="00EB5266" w:rsidRDefault="00C14DCB" w:rsidP="00EB5266">
            <w:pPr>
              <w:pStyle w:val="af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395FE4">
              <w:rPr>
                <w:rFonts w:ascii="Garamond" w:hAnsi="Garamond"/>
                <w:szCs w:val="22"/>
                <w:lang w:val="ru-RU"/>
              </w:rPr>
              <w:t xml:space="preserve">По договорам, стороной по которым является ЦФР, ЦФР указывает отдельной строкой в актах сверки расчетов и в отчете комиссионера информацию об обязательствах, прекращенных в связи с ликвидацией должника, для целей отражения соответствующих данных в бухгалтерском и налоговом учете </w:t>
            </w:r>
            <w:r w:rsidRPr="00395FE4">
              <w:rPr>
                <w:rFonts w:ascii="Garamond" w:hAnsi="Garamond"/>
                <w:highlight w:val="yellow"/>
                <w:lang w:val="ru-RU"/>
              </w:rPr>
              <w:t>субъекта оптового рынка (в том числе лишенного статуса субъекта оптового рынка</w:t>
            </w:r>
            <w:r w:rsidRPr="00395FE4">
              <w:rPr>
                <w:rFonts w:ascii="Garamond" w:hAnsi="Garamond"/>
                <w:szCs w:val="22"/>
                <w:highlight w:val="yellow"/>
                <w:lang w:val="ru-RU"/>
              </w:rPr>
              <w:t>).</w:t>
            </w:r>
          </w:p>
        </w:tc>
      </w:tr>
    </w:tbl>
    <w:p w14:paraId="679399F4" w14:textId="77777777" w:rsidR="00C14DCB" w:rsidRPr="0097470E" w:rsidRDefault="00C14DCB" w:rsidP="00C14DCB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32FD1354" w14:textId="77777777" w:rsidR="00C14DCB" w:rsidRDefault="00C14DCB" w:rsidP="00C14DCB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6CD794BB" w14:textId="47C783FB" w:rsidR="00C14DCB" w:rsidRDefault="00C14DCB" w:rsidP="00C14DCB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  <w:sectPr w:rsidR="00C14DCB" w:rsidSect="00DE5DFF">
          <w:footerReference w:type="even" r:id="rId8"/>
          <w:footerReference w:type="default" r:id="rId9"/>
          <w:pgSz w:w="16838" w:h="11906" w:orient="landscape"/>
          <w:pgMar w:top="1191" w:right="851" w:bottom="851" w:left="1247" w:header="709" w:footer="709" w:gutter="0"/>
          <w:cols w:space="720"/>
          <w:titlePg/>
          <w:docGrid w:linePitch="299"/>
        </w:sectPr>
      </w:pPr>
    </w:p>
    <w:p w14:paraId="32838A0A" w14:textId="55CD7545" w:rsidR="003E24FC" w:rsidRPr="00EB5266" w:rsidRDefault="003E24FC" w:rsidP="003E24FC">
      <w:pPr>
        <w:spacing w:after="0" w:line="240" w:lineRule="auto"/>
        <w:rPr>
          <w:rFonts w:ascii="Garamond" w:hAnsi="Garamond" w:cs="Garamond"/>
          <w:b/>
          <w:bCs/>
          <w:sz w:val="24"/>
          <w:szCs w:val="24"/>
        </w:rPr>
      </w:pPr>
      <w:r w:rsidRPr="00EB5266">
        <w:rPr>
          <w:rFonts w:ascii="Garamond" w:hAnsi="Garamond" w:cs="Garamond"/>
          <w:b/>
          <w:bCs/>
          <w:sz w:val="24"/>
          <w:szCs w:val="24"/>
        </w:rPr>
        <w:lastRenderedPageBreak/>
        <w:t>Действующая редакция</w:t>
      </w:r>
    </w:p>
    <w:p w14:paraId="6971952F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45750876" w14:textId="77777777" w:rsidR="003E24FC" w:rsidRDefault="003E24FC" w:rsidP="003E24FC">
      <w:pPr>
        <w:spacing w:after="0" w:line="240" w:lineRule="auto"/>
        <w:jc w:val="right"/>
        <w:rPr>
          <w:rFonts w:ascii="Garamond" w:eastAsia="Times New Roman" w:hAnsi="Garamond" w:cs="Calibri"/>
          <w:b/>
          <w:color w:val="000000"/>
          <w:szCs w:val="20"/>
        </w:rPr>
      </w:pPr>
      <w:r>
        <w:rPr>
          <w:rFonts w:ascii="Garamond" w:eastAsia="Times New Roman" w:hAnsi="Garamond" w:cs="Calibri"/>
          <w:b/>
          <w:color w:val="000000"/>
          <w:szCs w:val="20"/>
        </w:rPr>
        <w:t>Приложение 113б</w:t>
      </w:r>
    </w:p>
    <w:p w14:paraId="35D26F49" w14:textId="77777777" w:rsidR="003E24FC" w:rsidRDefault="003E24FC" w:rsidP="003E24FC">
      <w:pPr>
        <w:rPr>
          <w:rFonts w:cs="Calibri"/>
        </w:rPr>
      </w:pPr>
    </w:p>
    <w:p w14:paraId="650403E2" w14:textId="77777777" w:rsidR="003E24FC" w:rsidRDefault="003E24FC" w:rsidP="00395FE4">
      <w:pPr>
        <w:widowControl w:val="0"/>
        <w:spacing w:after="0"/>
        <w:ind w:right="-2"/>
        <w:jc w:val="center"/>
        <w:rPr>
          <w:rFonts w:ascii="Garamond" w:hAnsi="Garamond" w:cs="Calibri"/>
          <w:b/>
          <w:color w:val="000000"/>
        </w:rPr>
      </w:pPr>
      <w:r>
        <w:rPr>
          <w:rFonts w:ascii="Garamond" w:hAnsi="Garamond" w:cs="Calibri"/>
          <w:b/>
          <w:color w:val="000000"/>
        </w:rPr>
        <w:t xml:space="preserve">Перечень </w:t>
      </w:r>
      <w:r w:rsidRPr="007008CF">
        <w:rPr>
          <w:rFonts w:ascii="Garamond" w:hAnsi="Garamond" w:cs="Calibri"/>
          <w:b/>
          <w:color w:val="000000"/>
          <w:highlight w:val="yellow"/>
        </w:rPr>
        <w:t xml:space="preserve">участников оптового рынка (в </w:t>
      </w:r>
      <w:proofErr w:type="spellStart"/>
      <w:r w:rsidRPr="007008CF">
        <w:rPr>
          <w:rFonts w:ascii="Garamond" w:hAnsi="Garamond" w:cs="Calibri"/>
          <w:b/>
          <w:color w:val="000000"/>
          <w:highlight w:val="yellow"/>
        </w:rPr>
        <w:t>т.ч</w:t>
      </w:r>
      <w:proofErr w:type="spellEnd"/>
      <w:r w:rsidRPr="007008CF">
        <w:rPr>
          <w:rFonts w:ascii="Garamond" w:hAnsi="Garamond" w:cs="Calibri"/>
          <w:b/>
          <w:color w:val="000000"/>
          <w:highlight w:val="yellow"/>
        </w:rPr>
        <w:t>. участников оптового рынка, лишенных статуса субъекта оптового рынка),</w:t>
      </w:r>
      <w:r>
        <w:rPr>
          <w:rFonts w:ascii="Garamond" w:hAnsi="Garamond" w:cs="Calibri"/>
          <w:b/>
          <w:color w:val="000000"/>
        </w:rPr>
        <w:t xml:space="preserve"> </w:t>
      </w:r>
    </w:p>
    <w:p w14:paraId="6615D010" w14:textId="77777777" w:rsidR="003E24FC" w:rsidRDefault="003E24FC" w:rsidP="00395FE4">
      <w:pPr>
        <w:widowControl w:val="0"/>
        <w:spacing w:after="0"/>
        <w:ind w:right="-2"/>
        <w:jc w:val="center"/>
        <w:rPr>
          <w:rFonts w:ascii="Garamond" w:eastAsia="Times New Roman" w:hAnsi="Garamond" w:cs="Calibri"/>
          <w:b/>
          <w:color w:val="000000"/>
          <w:szCs w:val="20"/>
        </w:rPr>
      </w:pPr>
      <w:r>
        <w:rPr>
          <w:rFonts w:ascii="Garamond" w:eastAsia="Times New Roman" w:hAnsi="Garamond" w:cs="Calibri"/>
          <w:b/>
          <w:color w:val="000000"/>
          <w:szCs w:val="20"/>
        </w:rPr>
        <w:t>в отношении которых инициирована процедура банкротства по состоянию на ____________</w:t>
      </w:r>
    </w:p>
    <w:p w14:paraId="6DDBE348" w14:textId="77777777" w:rsidR="003E24FC" w:rsidRDefault="003E24FC" w:rsidP="003E24FC">
      <w:pPr>
        <w:widowControl w:val="0"/>
        <w:spacing w:after="0"/>
        <w:ind w:right="-331"/>
        <w:jc w:val="center"/>
        <w:rPr>
          <w:rFonts w:ascii="Garamond" w:eastAsia="Times New Roman" w:hAnsi="Garamond" w:cs="Calibri"/>
          <w:b/>
          <w:color w:val="000000"/>
          <w:szCs w:val="20"/>
        </w:rPr>
      </w:pPr>
    </w:p>
    <w:tbl>
      <w:tblPr>
        <w:tblW w:w="10440" w:type="dxa"/>
        <w:tblInd w:w="-431" w:type="dxa"/>
        <w:tblLook w:val="00A0" w:firstRow="1" w:lastRow="0" w:firstColumn="1" w:lastColumn="0" w:noHBand="0" w:noVBand="0"/>
      </w:tblPr>
      <w:tblGrid>
        <w:gridCol w:w="600"/>
        <w:gridCol w:w="2160"/>
        <w:gridCol w:w="2126"/>
        <w:gridCol w:w="1834"/>
        <w:gridCol w:w="1800"/>
        <w:gridCol w:w="1920"/>
      </w:tblGrid>
      <w:tr w:rsidR="003E24FC" w14:paraId="1D36191C" w14:textId="77777777" w:rsidTr="003E24FC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7AB2975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№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C624159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Наименование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организации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071D6FD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ИНН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организации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A5171DC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Статус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организации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18A0FD7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Процедура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банкротства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8E7BF4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Дата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начала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процедуры</w:t>
            </w:r>
            <w:proofErr w:type="spellEnd"/>
          </w:p>
        </w:tc>
      </w:tr>
      <w:tr w:rsidR="003E24FC" w14:paraId="6DBB2915" w14:textId="77777777" w:rsidTr="003E24FC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DF601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34BFE" w14:textId="77777777" w:rsidR="003E24FC" w:rsidRDefault="003E24FC" w:rsidP="00FC2D6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741FD" w14:textId="77777777" w:rsidR="003E24FC" w:rsidRDefault="003E24FC" w:rsidP="00FC2D6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7B6459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C57137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951E60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3E24FC" w14:paraId="6764769F" w14:textId="77777777" w:rsidTr="003E24FC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3ED29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E1257" w14:textId="77777777" w:rsidR="003E24FC" w:rsidRDefault="003E24FC" w:rsidP="00FC2D6E">
            <w:pPr>
              <w:spacing w:after="0"/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26247" w14:textId="77777777" w:rsidR="003E24FC" w:rsidRDefault="003E24FC" w:rsidP="00FC2D6E">
            <w:pPr>
              <w:spacing w:after="0"/>
              <w:rPr>
                <w:rFonts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21335A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BC03BF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8A090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</w:tr>
      <w:tr w:rsidR="003E24FC" w14:paraId="1E53C5C1" w14:textId="77777777" w:rsidTr="003E24FC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27A873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612D3" w14:textId="77777777" w:rsidR="003E24FC" w:rsidRDefault="003E24FC" w:rsidP="00FC2D6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D1AB1" w14:textId="77777777" w:rsidR="003E24FC" w:rsidRDefault="003E24FC" w:rsidP="00FC2D6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5E3AC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EC227D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3E98D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</w:tbl>
    <w:p w14:paraId="0ED63696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4AF8D82E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03620880" w14:textId="4C46FA22" w:rsidR="003E24FC" w:rsidRPr="00EB5266" w:rsidRDefault="003E24FC" w:rsidP="003E24FC">
      <w:pPr>
        <w:spacing w:after="0" w:line="240" w:lineRule="auto"/>
        <w:rPr>
          <w:rFonts w:ascii="Garamond" w:hAnsi="Garamond" w:cs="Garamond"/>
          <w:b/>
          <w:bCs/>
          <w:sz w:val="24"/>
          <w:szCs w:val="24"/>
        </w:rPr>
      </w:pPr>
      <w:r w:rsidRPr="00EB5266">
        <w:rPr>
          <w:rFonts w:ascii="Garamond" w:hAnsi="Garamond" w:cs="Garamond"/>
          <w:b/>
          <w:bCs/>
          <w:sz w:val="24"/>
          <w:szCs w:val="24"/>
        </w:rPr>
        <w:t>Предлагаемая редакция</w:t>
      </w:r>
    </w:p>
    <w:p w14:paraId="62ECBD50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2F278359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19E6CCA5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46458B37" w14:textId="77777777" w:rsidR="003E24FC" w:rsidRDefault="003E24FC" w:rsidP="003E24FC">
      <w:pPr>
        <w:spacing w:after="0" w:line="240" w:lineRule="auto"/>
        <w:jc w:val="right"/>
        <w:rPr>
          <w:rFonts w:ascii="Garamond" w:eastAsia="Times New Roman" w:hAnsi="Garamond" w:cs="Calibri"/>
          <w:b/>
          <w:color w:val="000000"/>
          <w:szCs w:val="20"/>
        </w:rPr>
      </w:pPr>
      <w:r>
        <w:rPr>
          <w:rFonts w:ascii="Garamond" w:eastAsia="Times New Roman" w:hAnsi="Garamond" w:cs="Calibri"/>
          <w:b/>
          <w:color w:val="000000"/>
          <w:szCs w:val="20"/>
        </w:rPr>
        <w:t>Приложение 113б</w:t>
      </w:r>
    </w:p>
    <w:p w14:paraId="74FA9C70" w14:textId="77777777" w:rsidR="003E24FC" w:rsidRDefault="003E24FC" w:rsidP="003E24FC">
      <w:pPr>
        <w:rPr>
          <w:rFonts w:cs="Calibri"/>
        </w:rPr>
      </w:pPr>
    </w:p>
    <w:p w14:paraId="4D505E43" w14:textId="77777777" w:rsidR="003E24FC" w:rsidRDefault="003E24FC" w:rsidP="003E24FC">
      <w:pPr>
        <w:widowControl w:val="0"/>
        <w:spacing w:after="0"/>
        <w:ind w:right="-331"/>
        <w:jc w:val="center"/>
        <w:rPr>
          <w:rFonts w:ascii="Garamond" w:hAnsi="Garamond" w:cs="Calibri"/>
          <w:b/>
          <w:color w:val="000000"/>
        </w:rPr>
      </w:pPr>
      <w:r>
        <w:rPr>
          <w:rFonts w:ascii="Garamond" w:hAnsi="Garamond" w:cs="Calibri"/>
          <w:b/>
          <w:color w:val="000000"/>
        </w:rPr>
        <w:t xml:space="preserve">Перечень </w:t>
      </w:r>
      <w:r w:rsidRPr="007008CF">
        <w:rPr>
          <w:rFonts w:ascii="Garamond" w:hAnsi="Garamond" w:cs="Calibri"/>
          <w:b/>
          <w:color w:val="000000"/>
          <w:highlight w:val="yellow"/>
        </w:rPr>
        <w:t xml:space="preserve">субъектов оптового рынка (в </w:t>
      </w:r>
      <w:proofErr w:type="spellStart"/>
      <w:r w:rsidRPr="007008CF">
        <w:rPr>
          <w:rFonts w:ascii="Garamond" w:hAnsi="Garamond" w:cs="Calibri"/>
          <w:b/>
          <w:color w:val="000000"/>
          <w:highlight w:val="yellow"/>
        </w:rPr>
        <w:t>т.ч</w:t>
      </w:r>
      <w:proofErr w:type="spellEnd"/>
      <w:r w:rsidRPr="007008CF">
        <w:rPr>
          <w:rFonts w:ascii="Garamond" w:hAnsi="Garamond" w:cs="Calibri"/>
          <w:b/>
          <w:color w:val="000000"/>
          <w:highlight w:val="yellow"/>
        </w:rPr>
        <w:t>. лишенных статуса субъекта оптового рынка),</w:t>
      </w:r>
      <w:r>
        <w:rPr>
          <w:rFonts w:ascii="Garamond" w:hAnsi="Garamond" w:cs="Calibri"/>
          <w:b/>
          <w:color w:val="000000"/>
        </w:rPr>
        <w:t xml:space="preserve"> </w:t>
      </w:r>
    </w:p>
    <w:p w14:paraId="1F3D07A2" w14:textId="77777777" w:rsidR="003E24FC" w:rsidRDefault="003E24FC" w:rsidP="003E24FC">
      <w:pPr>
        <w:widowControl w:val="0"/>
        <w:spacing w:after="0"/>
        <w:ind w:right="-331"/>
        <w:jc w:val="center"/>
        <w:rPr>
          <w:rFonts w:ascii="Garamond" w:eastAsia="Times New Roman" w:hAnsi="Garamond" w:cs="Calibri"/>
          <w:b/>
          <w:color w:val="000000"/>
          <w:szCs w:val="20"/>
        </w:rPr>
      </w:pPr>
      <w:r>
        <w:rPr>
          <w:rFonts w:ascii="Garamond" w:eastAsia="Times New Roman" w:hAnsi="Garamond" w:cs="Calibri"/>
          <w:b/>
          <w:color w:val="000000"/>
          <w:szCs w:val="20"/>
        </w:rPr>
        <w:t>в отношении которых инициирована процедура банкротства по состоянию на ____________</w:t>
      </w:r>
    </w:p>
    <w:p w14:paraId="035A9CC9" w14:textId="77777777" w:rsidR="003E24FC" w:rsidRDefault="003E24FC" w:rsidP="003E24FC">
      <w:pPr>
        <w:widowControl w:val="0"/>
        <w:spacing w:after="0"/>
        <w:ind w:right="-331"/>
        <w:jc w:val="both"/>
        <w:rPr>
          <w:rFonts w:cs="Garamond"/>
          <w:b/>
          <w:bCs/>
          <w:sz w:val="26"/>
          <w:szCs w:val="26"/>
          <w:lang w:eastAsia="ru-RU"/>
        </w:rPr>
      </w:pPr>
    </w:p>
    <w:tbl>
      <w:tblPr>
        <w:tblW w:w="10440" w:type="dxa"/>
        <w:tblInd w:w="-431" w:type="dxa"/>
        <w:tblLook w:val="00A0" w:firstRow="1" w:lastRow="0" w:firstColumn="1" w:lastColumn="0" w:noHBand="0" w:noVBand="0"/>
      </w:tblPr>
      <w:tblGrid>
        <w:gridCol w:w="600"/>
        <w:gridCol w:w="2160"/>
        <w:gridCol w:w="2126"/>
        <w:gridCol w:w="1834"/>
        <w:gridCol w:w="1800"/>
        <w:gridCol w:w="1920"/>
      </w:tblGrid>
      <w:tr w:rsidR="003E24FC" w14:paraId="73AC763A" w14:textId="77777777" w:rsidTr="003E24FC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63D70B5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</w:rPr>
              <w:t>№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E19B79B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</w:rPr>
              <w:t>Наименование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BA585B4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</w:rPr>
              <w:t>ИНН организации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80746C6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Статус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организации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A32E17C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Процедура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банкротства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D013DCB" w14:textId="77777777" w:rsidR="003E24FC" w:rsidRDefault="003E24FC" w:rsidP="00FC2D6E">
            <w:pPr>
              <w:spacing w:before="180"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Дата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начала</w:t>
            </w:r>
            <w:proofErr w:type="spellEnd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bCs/>
                <w:color w:val="000000"/>
                <w:lang w:val="en-GB"/>
              </w:rPr>
              <w:t>процедуры</w:t>
            </w:r>
            <w:proofErr w:type="spellEnd"/>
          </w:p>
        </w:tc>
      </w:tr>
      <w:tr w:rsidR="003E24FC" w14:paraId="46746FDE" w14:textId="77777777" w:rsidTr="003E24FC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074F9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44F7E" w14:textId="77777777" w:rsidR="003E24FC" w:rsidRDefault="003E24FC" w:rsidP="00FC2D6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A8936" w14:textId="77777777" w:rsidR="003E24FC" w:rsidRDefault="003E24FC" w:rsidP="00FC2D6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6EC0CC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E72655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644A7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3E24FC" w14:paraId="3EF5E4C4" w14:textId="77777777" w:rsidTr="003E24FC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F47023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EDC68" w14:textId="77777777" w:rsidR="003E24FC" w:rsidRDefault="003E24FC" w:rsidP="00FC2D6E">
            <w:pPr>
              <w:spacing w:after="0"/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A7EFC" w14:textId="77777777" w:rsidR="003E24FC" w:rsidRDefault="003E24FC" w:rsidP="00FC2D6E">
            <w:pPr>
              <w:spacing w:after="0"/>
              <w:rPr>
                <w:rFonts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467777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61FC0D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F672C" w14:textId="77777777" w:rsidR="003E24FC" w:rsidRDefault="003E24FC" w:rsidP="00FC2D6E">
            <w:pPr>
              <w:spacing w:after="0"/>
              <w:jc w:val="center"/>
              <w:rPr>
                <w:rFonts w:cs="Arial"/>
              </w:rPr>
            </w:pPr>
          </w:p>
        </w:tc>
      </w:tr>
      <w:tr w:rsidR="003E24FC" w14:paraId="32E1B8CE" w14:textId="77777777" w:rsidTr="003E24FC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560E9D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B8DF4" w14:textId="77777777" w:rsidR="003E24FC" w:rsidRDefault="003E24FC" w:rsidP="00FC2D6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1994A" w14:textId="77777777" w:rsidR="003E24FC" w:rsidRDefault="003E24FC" w:rsidP="00FC2D6E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288F1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C7651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3E980" w14:textId="77777777" w:rsidR="003E24FC" w:rsidRDefault="003E24FC" w:rsidP="00FC2D6E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</w:tbl>
    <w:p w14:paraId="187B807E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54FD2A74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0F528553" w14:textId="1F8CD298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7877C331" w14:textId="258834ED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756320F7" w14:textId="76F49EC2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217B8292" w14:textId="1A4CEBE4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14023CEF" w14:textId="34E84BA8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4EAB33AA" w14:textId="18E9CD1D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5C6E8888" w14:textId="1778AFB0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0BF8A418" w14:textId="5CBBE630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2F7AA57E" w14:textId="0F2B9563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160EBCCD" w14:textId="4E6DC30A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63E023CF" w14:textId="77777777" w:rsidR="003E24FC" w:rsidRDefault="003E24FC" w:rsidP="003E24FC">
      <w:pPr>
        <w:spacing w:after="0"/>
        <w:jc w:val="right"/>
        <w:rPr>
          <w:rFonts w:ascii="Garamond" w:eastAsia="Times New Roman" w:hAnsi="Garamond" w:cs="Calibri"/>
          <w:b/>
          <w:color w:val="000000"/>
          <w:szCs w:val="20"/>
        </w:rPr>
      </w:pPr>
    </w:p>
    <w:p w14:paraId="64C74204" w14:textId="77777777" w:rsidR="00EB5266" w:rsidRDefault="00EB5266">
      <w:pPr>
        <w:spacing w:after="160" w:line="259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br w:type="page"/>
      </w:r>
    </w:p>
    <w:p w14:paraId="6BD18B2E" w14:textId="4B3C7E00" w:rsidR="003E24FC" w:rsidRPr="00EB5266" w:rsidRDefault="003E24FC" w:rsidP="003E24FC">
      <w:pPr>
        <w:spacing w:after="0" w:line="240" w:lineRule="auto"/>
        <w:rPr>
          <w:rFonts w:ascii="Garamond" w:hAnsi="Garamond" w:cs="Garamond"/>
          <w:b/>
          <w:bCs/>
          <w:sz w:val="24"/>
          <w:szCs w:val="24"/>
        </w:rPr>
      </w:pPr>
      <w:r w:rsidRPr="00EB5266">
        <w:rPr>
          <w:rFonts w:ascii="Garamond" w:hAnsi="Garamond" w:cs="Garamond"/>
          <w:b/>
          <w:bCs/>
          <w:sz w:val="24"/>
          <w:szCs w:val="24"/>
        </w:rPr>
        <w:lastRenderedPageBreak/>
        <w:t>Действующая редакция</w:t>
      </w:r>
    </w:p>
    <w:p w14:paraId="21D277A6" w14:textId="77777777" w:rsidR="003E24FC" w:rsidRDefault="003E24FC" w:rsidP="003E24FC">
      <w:pPr>
        <w:spacing w:after="0" w:line="240" w:lineRule="auto"/>
        <w:jc w:val="right"/>
        <w:rPr>
          <w:rFonts w:ascii="Garamond" w:eastAsia="Times New Roman" w:hAnsi="Garamond" w:cs="Calibri"/>
          <w:b/>
          <w:color w:val="000000"/>
          <w:szCs w:val="20"/>
        </w:rPr>
      </w:pPr>
      <w:r>
        <w:rPr>
          <w:rFonts w:ascii="Garamond" w:eastAsia="Times New Roman" w:hAnsi="Garamond" w:cs="Calibri"/>
          <w:b/>
          <w:color w:val="000000"/>
          <w:szCs w:val="20"/>
        </w:rPr>
        <w:t>Приложение 113в</w:t>
      </w:r>
    </w:p>
    <w:p w14:paraId="2244F140" w14:textId="77777777" w:rsidR="003E24FC" w:rsidRDefault="003E24FC" w:rsidP="003E24FC">
      <w:pPr>
        <w:rPr>
          <w:rFonts w:cs="Calibri"/>
        </w:rPr>
      </w:pPr>
    </w:p>
    <w:p w14:paraId="6042D59C" w14:textId="77777777" w:rsidR="003E24FC" w:rsidRPr="00395FE4" w:rsidRDefault="003E24FC" w:rsidP="003E24FC">
      <w:pPr>
        <w:pStyle w:val="3"/>
        <w:keepNext w:val="0"/>
        <w:widowControl w:val="0"/>
        <w:ind w:left="1224"/>
        <w:jc w:val="center"/>
        <w:rPr>
          <w:b/>
        </w:rPr>
      </w:pPr>
      <w:r w:rsidRPr="00395FE4">
        <w:rPr>
          <w:b/>
        </w:rPr>
        <w:t>УВЕДОМЛЕНИЕ</w:t>
      </w:r>
    </w:p>
    <w:p w14:paraId="7F09A2C7" w14:textId="77777777" w:rsidR="003E24FC" w:rsidRPr="00395FE4" w:rsidRDefault="003E24FC" w:rsidP="003E24FC">
      <w:pPr>
        <w:pStyle w:val="3"/>
        <w:keepNext w:val="0"/>
        <w:widowControl w:val="0"/>
        <w:ind w:left="1224"/>
        <w:jc w:val="center"/>
        <w:rPr>
          <w:b/>
          <w:bCs/>
        </w:rPr>
      </w:pPr>
      <w:r w:rsidRPr="00395FE4">
        <w:rPr>
          <w:b/>
        </w:rPr>
        <w:t>по результату мониторинга сведений о ликвидации</w:t>
      </w:r>
    </w:p>
    <w:p w14:paraId="63C1E0B2" w14:textId="42441A65" w:rsidR="003E24FC" w:rsidRDefault="003E24FC" w:rsidP="003E24FC">
      <w:pPr>
        <w:jc w:val="both"/>
        <w:rPr>
          <w:rFonts w:ascii="Garamond" w:eastAsia="Times New Roman" w:hAnsi="Garamond" w:cs="Calibri"/>
          <w:szCs w:val="20"/>
        </w:rPr>
      </w:pPr>
      <w:r>
        <w:rPr>
          <w:rFonts w:cs="Calibri"/>
        </w:rPr>
        <w:tab/>
      </w:r>
      <w:r>
        <w:rPr>
          <w:rFonts w:ascii="Garamond" w:eastAsia="Times New Roman" w:hAnsi="Garamond" w:cs="Calibri"/>
          <w:szCs w:val="20"/>
        </w:rPr>
        <w:t xml:space="preserve">По результату проводимого АО «ЦФР» на основании п. 24.1 </w:t>
      </w:r>
      <w:r>
        <w:rPr>
          <w:rFonts w:ascii="Garamond" w:eastAsia="Times New Roman" w:hAnsi="Garamond" w:cs="Calibri"/>
          <w:i/>
          <w:szCs w:val="20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 w:cs="Calibri"/>
          <w:szCs w:val="20"/>
        </w:rPr>
        <w:t xml:space="preserve"> (Приложение № 16 к </w:t>
      </w:r>
      <w:r>
        <w:rPr>
          <w:rFonts w:ascii="Garamond" w:eastAsia="Times New Roman" w:hAnsi="Garamond" w:cs="Calibri"/>
          <w:i/>
          <w:szCs w:val="20"/>
        </w:rPr>
        <w:t>Договору о присоединении к торговой системе оптового рынка</w:t>
      </w:r>
      <w:r>
        <w:rPr>
          <w:rFonts w:ascii="Garamond" w:eastAsia="Times New Roman" w:hAnsi="Garamond" w:cs="Calibri"/>
          <w:szCs w:val="20"/>
        </w:rPr>
        <w:t xml:space="preserve">) мониторинга сведений о ликвидации в отношении </w:t>
      </w:r>
      <w:r w:rsidRPr="007008CF">
        <w:rPr>
          <w:rFonts w:ascii="Garamond" w:eastAsia="Times New Roman" w:hAnsi="Garamond" w:cs="Calibri"/>
          <w:szCs w:val="20"/>
          <w:highlight w:val="yellow"/>
        </w:rPr>
        <w:t>участников оптового рынка (в том числе участников оптового рынка, лишенных статуса субъекта оптового рынка</w:t>
      </w:r>
      <w:r>
        <w:rPr>
          <w:rFonts w:ascii="Garamond" w:eastAsia="Times New Roman" w:hAnsi="Garamond" w:cs="Calibri"/>
          <w:szCs w:val="20"/>
        </w:rPr>
        <w:t xml:space="preserve"> и имеющих задолженность по оплате обязательств/требований на оптовом рынке) была выявлена следующая информация в журнале «Вестник государственной регистрации» / информация о записях в ЕГРЮЛ:</w:t>
      </w:r>
    </w:p>
    <w:tbl>
      <w:tblPr>
        <w:tblW w:w="100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443"/>
        <w:gridCol w:w="7053"/>
      </w:tblGrid>
      <w:tr w:rsidR="003E24FC" w14:paraId="328E24AD" w14:textId="77777777" w:rsidTr="003E24FC">
        <w:trPr>
          <w:trHeight w:val="481"/>
        </w:trPr>
        <w:tc>
          <w:tcPr>
            <w:tcW w:w="507" w:type="dxa"/>
          </w:tcPr>
          <w:p w14:paraId="1FD5FE55" w14:textId="77777777" w:rsidR="003E24FC" w:rsidRDefault="003E24FC" w:rsidP="00FC2D6E">
            <w:pPr>
              <w:jc w:val="center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№</w:t>
            </w:r>
          </w:p>
        </w:tc>
        <w:tc>
          <w:tcPr>
            <w:tcW w:w="2443" w:type="dxa"/>
          </w:tcPr>
          <w:p w14:paraId="6F8ACB68" w14:textId="77777777" w:rsidR="003E24FC" w:rsidRDefault="003E24FC" w:rsidP="00FC2D6E">
            <w:pPr>
              <w:jc w:val="center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Наименование организации</w:t>
            </w:r>
          </w:p>
        </w:tc>
        <w:tc>
          <w:tcPr>
            <w:tcW w:w="7053" w:type="dxa"/>
          </w:tcPr>
          <w:p w14:paraId="3AAA4E64" w14:textId="77777777" w:rsidR="003E24FC" w:rsidRDefault="003E24FC" w:rsidP="00FC2D6E">
            <w:pPr>
              <w:jc w:val="center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Содержание информации</w:t>
            </w:r>
          </w:p>
        </w:tc>
      </w:tr>
      <w:tr w:rsidR="003E24FC" w14:paraId="41D43900" w14:textId="77777777" w:rsidTr="003E24FC">
        <w:tc>
          <w:tcPr>
            <w:tcW w:w="507" w:type="dxa"/>
          </w:tcPr>
          <w:p w14:paraId="1221CC3B" w14:textId="77777777" w:rsidR="003E24FC" w:rsidRDefault="003E24FC" w:rsidP="00FC2D6E">
            <w:pPr>
              <w:jc w:val="center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1.</w:t>
            </w:r>
          </w:p>
        </w:tc>
        <w:tc>
          <w:tcPr>
            <w:tcW w:w="2443" w:type="dxa"/>
          </w:tcPr>
          <w:p w14:paraId="35A49C92" w14:textId="77777777" w:rsidR="003E24FC" w:rsidRDefault="003E24FC" w:rsidP="00FC2D6E">
            <w:pPr>
              <w:jc w:val="both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_________________ (наименование организации),</w:t>
            </w:r>
          </w:p>
          <w:p w14:paraId="07175C2B" w14:textId="77777777" w:rsidR="003E24FC" w:rsidRDefault="003E24FC" w:rsidP="00FC2D6E">
            <w:pPr>
              <w:jc w:val="both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(ИНН ______________,</w:t>
            </w:r>
          </w:p>
          <w:p w14:paraId="263789E8" w14:textId="77777777" w:rsidR="003E24FC" w:rsidRDefault="003E24FC" w:rsidP="00FC2D6E">
            <w:pPr>
              <w:jc w:val="both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ОГРН ______________)</w:t>
            </w:r>
          </w:p>
        </w:tc>
        <w:tc>
          <w:tcPr>
            <w:tcW w:w="7053" w:type="dxa"/>
          </w:tcPr>
          <w:p w14:paraId="3BB24A2B" w14:textId="77777777" w:rsidR="003E24FC" w:rsidRDefault="003E24FC" w:rsidP="00FC2D6E">
            <w:pPr>
              <w:jc w:val="both"/>
              <w:rPr>
                <w:rFonts w:ascii="Garamond" w:eastAsia="Times New Roman" w:hAnsi="Garamond" w:cs="Calibri"/>
                <w:szCs w:val="20"/>
              </w:rPr>
            </w:pPr>
          </w:p>
        </w:tc>
      </w:tr>
    </w:tbl>
    <w:p w14:paraId="059B85A0" w14:textId="77777777" w:rsidR="003E24FC" w:rsidRDefault="003E24FC" w:rsidP="003E24FC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52B12E4F" w14:textId="77777777" w:rsidR="00EB5266" w:rsidRDefault="00EB5266" w:rsidP="003E24FC">
      <w:pPr>
        <w:spacing w:after="0" w:line="240" w:lineRule="auto"/>
        <w:rPr>
          <w:rFonts w:ascii="Garamond" w:hAnsi="Garamond" w:cs="Garamond"/>
          <w:b/>
          <w:bCs/>
          <w:sz w:val="24"/>
          <w:szCs w:val="24"/>
        </w:rPr>
      </w:pPr>
    </w:p>
    <w:p w14:paraId="02CD583F" w14:textId="49B57E0A" w:rsidR="003E24FC" w:rsidRPr="00EB5266" w:rsidRDefault="003E24FC" w:rsidP="003E24FC">
      <w:pPr>
        <w:spacing w:after="0" w:line="240" w:lineRule="auto"/>
        <w:rPr>
          <w:rFonts w:ascii="Garamond" w:hAnsi="Garamond" w:cs="Garamond"/>
          <w:b/>
          <w:bCs/>
          <w:sz w:val="24"/>
          <w:szCs w:val="24"/>
        </w:rPr>
      </w:pPr>
      <w:r w:rsidRPr="00EB5266">
        <w:rPr>
          <w:rFonts w:ascii="Garamond" w:hAnsi="Garamond" w:cs="Garamond"/>
          <w:b/>
          <w:bCs/>
          <w:sz w:val="24"/>
          <w:szCs w:val="24"/>
        </w:rPr>
        <w:t>Предлагаемая редакция</w:t>
      </w:r>
    </w:p>
    <w:p w14:paraId="1ABF2881" w14:textId="77777777" w:rsidR="003E24FC" w:rsidRDefault="003E24FC" w:rsidP="003E24FC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14:paraId="30C4942F" w14:textId="77777777" w:rsidR="003E24FC" w:rsidRDefault="003E24FC" w:rsidP="003E24FC">
      <w:pPr>
        <w:spacing w:after="0" w:line="240" w:lineRule="auto"/>
        <w:jc w:val="right"/>
        <w:rPr>
          <w:rFonts w:ascii="Garamond" w:eastAsia="Times New Roman" w:hAnsi="Garamond" w:cs="Calibri"/>
          <w:b/>
          <w:color w:val="000000"/>
          <w:szCs w:val="20"/>
        </w:rPr>
      </w:pPr>
      <w:r>
        <w:rPr>
          <w:rFonts w:ascii="Garamond" w:eastAsia="Times New Roman" w:hAnsi="Garamond" w:cs="Calibri"/>
          <w:b/>
          <w:color w:val="000000"/>
          <w:szCs w:val="20"/>
        </w:rPr>
        <w:t>Приложение 113в</w:t>
      </w:r>
    </w:p>
    <w:p w14:paraId="0075AA91" w14:textId="77777777" w:rsidR="003E24FC" w:rsidRDefault="003E24FC" w:rsidP="003E24FC">
      <w:pPr>
        <w:rPr>
          <w:rFonts w:cs="Calibri"/>
        </w:rPr>
      </w:pPr>
    </w:p>
    <w:p w14:paraId="228E0833" w14:textId="77777777" w:rsidR="003E24FC" w:rsidRPr="00395FE4" w:rsidRDefault="003E24FC" w:rsidP="003E24FC">
      <w:pPr>
        <w:pStyle w:val="3"/>
        <w:keepNext w:val="0"/>
        <w:widowControl w:val="0"/>
        <w:ind w:left="1224"/>
        <w:jc w:val="center"/>
        <w:rPr>
          <w:b/>
        </w:rPr>
      </w:pPr>
      <w:r w:rsidRPr="00395FE4">
        <w:rPr>
          <w:b/>
        </w:rPr>
        <w:t>УВЕДОМЛЕНИЕ</w:t>
      </w:r>
    </w:p>
    <w:p w14:paraId="3DDD4819" w14:textId="77777777" w:rsidR="003E24FC" w:rsidRPr="00395FE4" w:rsidRDefault="003E24FC" w:rsidP="003E24FC">
      <w:pPr>
        <w:pStyle w:val="3"/>
        <w:keepNext w:val="0"/>
        <w:widowControl w:val="0"/>
        <w:ind w:left="1224"/>
        <w:jc w:val="center"/>
        <w:rPr>
          <w:b/>
          <w:bCs/>
        </w:rPr>
      </w:pPr>
      <w:r w:rsidRPr="00395FE4">
        <w:rPr>
          <w:b/>
        </w:rPr>
        <w:t>по результату мониторинга сведений о ликвидации</w:t>
      </w:r>
    </w:p>
    <w:p w14:paraId="0C4036DB" w14:textId="77777777" w:rsidR="003E24FC" w:rsidRDefault="003E24FC" w:rsidP="003E24FC">
      <w:pPr>
        <w:jc w:val="both"/>
        <w:rPr>
          <w:rFonts w:ascii="Garamond" w:eastAsia="Times New Roman" w:hAnsi="Garamond" w:cs="Calibri"/>
          <w:szCs w:val="20"/>
        </w:rPr>
      </w:pPr>
      <w:r>
        <w:rPr>
          <w:rFonts w:cs="Calibri"/>
        </w:rPr>
        <w:tab/>
      </w:r>
      <w:r>
        <w:rPr>
          <w:rFonts w:ascii="Garamond" w:eastAsia="Times New Roman" w:hAnsi="Garamond" w:cs="Calibri"/>
          <w:szCs w:val="20"/>
        </w:rPr>
        <w:t xml:space="preserve">По результату проводимого АО «ЦФР» на основании п. 24.1 </w:t>
      </w:r>
      <w:r>
        <w:rPr>
          <w:rFonts w:ascii="Garamond" w:eastAsia="Times New Roman" w:hAnsi="Garamond" w:cs="Calibri"/>
          <w:i/>
          <w:szCs w:val="20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 w:cs="Calibri"/>
          <w:szCs w:val="20"/>
        </w:rPr>
        <w:t xml:space="preserve"> (Приложение № 16 к </w:t>
      </w:r>
      <w:r>
        <w:rPr>
          <w:rFonts w:ascii="Garamond" w:eastAsia="Times New Roman" w:hAnsi="Garamond" w:cs="Calibri"/>
          <w:i/>
          <w:szCs w:val="20"/>
        </w:rPr>
        <w:t>Договору о присоединении к торговой системе оптового рынка</w:t>
      </w:r>
      <w:r>
        <w:rPr>
          <w:rFonts w:ascii="Garamond" w:eastAsia="Times New Roman" w:hAnsi="Garamond" w:cs="Calibri"/>
          <w:szCs w:val="20"/>
        </w:rPr>
        <w:t xml:space="preserve">) мониторинга сведений о ликвидации в отношении </w:t>
      </w:r>
      <w:r w:rsidRPr="007008CF">
        <w:rPr>
          <w:rFonts w:ascii="Garamond" w:hAnsi="Garamond"/>
          <w:highlight w:val="yellow"/>
        </w:rPr>
        <w:t>субъектов оптового рынка (в том числе лишенных статуса субъекта оптового рынка</w:t>
      </w:r>
      <w:r>
        <w:rPr>
          <w:rFonts w:ascii="Garamond" w:hAnsi="Garamond"/>
        </w:rPr>
        <w:t xml:space="preserve"> </w:t>
      </w:r>
      <w:r>
        <w:rPr>
          <w:rFonts w:ascii="Garamond" w:eastAsia="Times New Roman" w:hAnsi="Garamond" w:cs="Calibri"/>
          <w:szCs w:val="20"/>
        </w:rPr>
        <w:t>и имеющих задолженность по оплате обязательств/требований на оптовом рынке) была выявлена следующая информация в журнале «Вестник государственной регистрации» / информация о записях в ЕГРЮЛ:</w:t>
      </w:r>
    </w:p>
    <w:tbl>
      <w:tblPr>
        <w:tblW w:w="100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443"/>
        <w:gridCol w:w="7053"/>
      </w:tblGrid>
      <w:tr w:rsidR="003E24FC" w14:paraId="0E94878E" w14:textId="77777777" w:rsidTr="003E24FC">
        <w:trPr>
          <w:trHeight w:val="481"/>
        </w:trPr>
        <w:tc>
          <w:tcPr>
            <w:tcW w:w="507" w:type="dxa"/>
          </w:tcPr>
          <w:p w14:paraId="0B33B23D" w14:textId="77777777" w:rsidR="003E24FC" w:rsidRDefault="003E24FC" w:rsidP="00FC2D6E">
            <w:pPr>
              <w:jc w:val="center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№</w:t>
            </w:r>
          </w:p>
        </w:tc>
        <w:tc>
          <w:tcPr>
            <w:tcW w:w="2443" w:type="dxa"/>
          </w:tcPr>
          <w:p w14:paraId="594995B7" w14:textId="77777777" w:rsidR="003E24FC" w:rsidRDefault="003E24FC" w:rsidP="00FC2D6E">
            <w:pPr>
              <w:jc w:val="center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Наименование организации</w:t>
            </w:r>
          </w:p>
        </w:tc>
        <w:tc>
          <w:tcPr>
            <w:tcW w:w="7053" w:type="dxa"/>
          </w:tcPr>
          <w:p w14:paraId="77017939" w14:textId="77777777" w:rsidR="003E24FC" w:rsidRDefault="003E24FC" w:rsidP="00FC2D6E">
            <w:pPr>
              <w:jc w:val="center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Содержание информации</w:t>
            </w:r>
          </w:p>
        </w:tc>
      </w:tr>
      <w:tr w:rsidR="003E24FC" w14:paraId="32F8A8A9" w14:textId="77777777" w:rsidTr="003E24FC">
        <w:tc>
          <w:tcPr>
            <w:tcW w:w="507" w:type="dxa"/>
          </w:tcPr>
          <w:p w14:paraId="73211232" w14:textId="77777777" w:rsidR="003E24FC" w:rsidRDefault="003E24FC" w:rsidP="00FC2D6E">
            <w:pPr>
              <w:jc w:val="center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1.</w:t>
            </w:r>
          </w:p>
        </w:tc>
        <w:tc>
          <w:tcPr>
            <w:tcW w:w="2443" w:type="dxa"/>
          </w:tcPr>
          <w:p w14:paraId="56C41088" w14:textId="77777777" w:rsidR="003E24FC" w:rsidRDefault="003E24FC" w:rsidP="00FC2D6E">
            <w:pPr>
              <w:jc w:val="both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_________________ (наименование организации),</w:t>
            </w:r>
          </w:p>
          <w:p w14:paraId="3ABB21B9" w14:textId="77777777" w:rsidR="003E24FC" w:rsidRDefault="003E24FC" w:rsidP="00FC2D6E">
            <w:pPr>
              <w:jc w:val="both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(ИНН ______________,</w:t>
            </w:r>
          </w:p>
          <w:p w14:paraId="38099AC3" w14:textId="77777777" w:rsidR="003E24FC" w:rsidRDefault="003E24FC" w:rsidP="00FC2D6E">
            <w:pPr>
              <w:jc w:val="both"/>
              <w:rPr>
                <w:rFonts w:ascii="Garamond" w:eastAsia="Times New Roman" w:hAnsi="Garamond" w:cs="Calibri"/>
                <w:szCs w:val="20"/>
              </w:rPr>
            </w:pPr>
            <w:r>
              <w:rPr>
                <w:rFonts w:ascii="Garamond" w:eastAsia="Times New Roman" w:hAnsi="Garamond" w:cs="Calibri"/>
                <w:szCs w:val="20"/>
              </w:rPr>
              <w:t>ОГРН ______________)</w:t>
            </w:r>
          </w:p>
        </w:tc>
        <w:tc>
          <w:tcPr>
            <w:tcW w:w="7053" w:type="dxa"/>
          </w:tcPr>
          <w:p w14:paraId="6382FB89" w14:textId="77777777" w:rsidR="003E24FC" w:rsidRDefault="003E24FC" w:rsidP="00FC2D6E">
            <w:pPr>
              <w:jc w:val="both"/>
              <w:rPr>
                <w:rFonts w:ascii="Garamond" w:eastAsia="Times New Roman" w:hAnsi="Garamond" w:cs="Calibri"/>
                <w:szCs w:val="20"/>
              </w:rPr>
            </w:pPr>
          </w:p>
        </w:tc>
      </w:tr>
    </w:tbl>
    <w:p w14:paraId="5112145F" w14:textId="77777777" w:rsidR="003E24FC" w:rsidRDefault="003E24FC" w:rsidP="003E24FC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7E21A9CB" w14:textId="0145BF73" w:rsidR="00C14DCB" w:rsidRDefault="00C14DCB" w:rsidP="00B65E97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  <w:sectPr w:rsidR="00C14DCB" w:rsidSect="00EB5266">
          <w:footerReference w:type="default" r:id="rId10"/>
          <w:pgSz w:w="11906" w:h="16838"/>
          <w:pgMar w:top="1135" w:right="851" w:bottom="1247" w:left="1134" w:header="709" w:footer="709" w:gutter="0"/>
          <w:pgNumType w:start="63"/>
          <w:cols w:space="708"/>
          <w:docGrid w:linePitch="360"/>
        </w:sectPr>
      </w:pPr>
    </w:p>
    <w:p w14:paraId="09B0634B" w14:textId="6BCE4A02" w:rsidR="007865B3" w:rsidRDefault="007865B3" w:rsidP="00477F15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lastRenderedPageBreak/>
        <w:t xml:space="preserve">Предложения по изменениям и дополнениям в </w:t>
      </w:r>
      <w:r w:rsidRPr="007865B3">
        <w:rPr>
          <w:rFonts w:ascii="Garamond" w:hAnsi="Garamond" w:cs="Garamond"/>
          <w:b/>
          <w:bCs/>
          <w:sz w:val="26"/>
          <w:szCs w:val="26"/>
        </w:rPr>
        <w:t>ПЕРЕЧЕНЬ ОПРЕДЕЛЕНИЙ И ПРИНЯТЫХ СОКРАЩЕНИЙ</w:t>
      </w:r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 № 17 к Договору о присоединении к торговой системе оптового рынка)</w:t>
      </w:r>
    </w:p>
    <w:p w14:paraId="58364B05" w14:textId="3F13E80F" w:rsidR="007865B3" w:rsidRDefault="007865B3" w:rsidP="00B65E97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tbl>
      <w:tblPr>
        <w:tblStyle w:val="10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985"/>
        <w:gridCol w:w="5386"/>
      </w:tblGrid>
      <w:tr w:rsidR="00A17725" w:rsidRPr="00121CD4" w14:paraId="3F98A82D" w14:textId="77777777" w:rsidTr="008E2D3C">
        <w:tc>
          <w:tcPr>
            <w:tcW w:w="7513" w:type="dxa"/>
            <w:gridSpan w:val="2"/>
          </w:tcPr>
          <w:p w14:paraId="25DAF883" w14:textId="77777777" w:rsidR="00A17725" w:rsidRPr="00121CD4" w:rsidRDefault="00A17725" w:rsidP="00A8401D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bookmarkStart w:id="6" w:name="_Hlk163480378"/>
            <w:r w:rsidRPr="00121CD4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5C7C6E43" w14:textId="77777777" w:rsidR="00A17725" w:rsidRPr="00121CD4" w:rsidRDefault="00A17725" w:rsidP="00A8401D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121CD4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371" w:type="dxa"/>
            <w:gridSpan w:val="2"/>
          </w:tcPr>
          <w:p w14:paraId="2C9EF4C8" w14:textId="77777777" w:rsidR="00A17725" w:rsidRPr="00121CD4" w:rsidRDefault="00A17725" w:rsidP="00A8401D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121CD4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14:paraId="69215A78" w14:textId="77777777" w:rsidR="00A17725" w:rsidRPr="00121CD4" w:rsidRDefault="00A17725" w:rsidP="00A8401D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121CD4">
              <w:rPr>
                <w:rFonts w:ascii="Garamond" w:hAnsi="Garamond" w:cs="Garamond"/>
                <w:b/>
                <w:bCs/>
              </w:rPr>
              <w:t>(изменения выделены цветом)</w:t>
            </w:r>
          </w:p>
        </w:tc>
      </w:tr>
      <w:tr w:rsidR="00A17725" w:rsidRPr="00121CD4" w14:paraId="6583C30A" w14:textId="77777777" w:rsidTr="008E2D3C">
        <w:tc>
          <w:tcPr>
            <w:tcW w:w="1985" w:type="dxa"/>
            <w:tcBorders>
              <w:right w:val="nil"/>
            </w:tcBorders>
          </w:tcPr>
          <w:p w14:paraId="140910E2" w14:textId="77777777" w:rsidR="00A17725" w:rsidRPr="00FC64C9" w:rsidRDefault="00A17725" w:rsidP="00A8401D">
            <w:pPr>
              <w:rPr>
                <w:rFonts w:ascii="Garamond" w:hAnsi="Garamond"/>
                <w:b/>
              </w:rPr>
            </w:pPr>
            <w:r w:rsidRPr="00FC64C9">
              <w:rPr>
                <w:rFonts w:ascii="Garamond" w:eastAsia="Times New Roman" w:hAnsi="Garamond"/>
                <w:b/>
                <w:szCs w:val="20"/>
              </w:rPr>
              <w:t>Время ценовой зоны</w:t>
            </w:r>
          </w:p>
        </w:tc>
        <w:tc>
          <w:tcPr>
            <w:tcW w:w="5528" w:type="dxa"/>
            <w:tcBorders>
              <w:left w:val="nil"/>
            </w:tcBorders>
          </w:tcPr>
          <w:p w14:paraId="3AD97595" w14:textId="77777777" w:rsidR="00A17725" w:rsidRPr="00247F6D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 w:rsidRPr="00247F6D">
              <w:rPr>
                <w:rFonts w:ascii="Garamond" w:hAnsi="Garamond"/>
              </w:rPr>
              <w:t>Время, применяемое в первой и второй ценовых зонах (соответственно, именуемое временем первой/второй ценовой зоны) оптового рынка при исполнении Участниками оптового рынка и инфраструктурными организациями обязательств, предусмотренных Договором о присоединении и регламентами оптового рынка, и определяемое как московское (МСК).</w:t>
            </w:r>
          </w:p>
          <w:p w14:paraId="4380B9E8" w14:textId="77777777" w:rsidR="00A17725" w:rsidRPr="00247F6D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 w:rsidRPr="00247F6D">
              <w:rPr>
                <w:rFonts w:ascii="Garamond" w:hAnsi="Garamond"/>
              </w:rPr>
              <w:t>В отношении ГТП, отнесенных к первой или второй ценовой зоне, применяется московское время (МСК).</w:t>
            </w:r>
          </w:p>
        </w:tc>
        <w:tc>
          <w:tcPr>
            <w:tcW w:w="1985" w:type="dxa"/>
            <w:tcBorders>
              <w:right w:val="nil"/>
            </w:tcBorders>
          </w:tcPr>
          <w:p w14:paraId="3C68DEE2" w14:textId="77777777" w:rsidR="00A17725" w:rsidRPr="00FC64C9" w:rsidRDefault="00A17725" w:rsidP="00A8401D">
            <w:pPr>
              <w:rPr>
                <w:rFonts w:ascii="Garamond" w:hAnsi="Garamond"/>
                <w:b/>
                <w:highlight w:val="yellow"/>
              </w:rPr>
            </w:pPr>
            <w:r w:rsidRPr="00FC64C9">
              <w:rPr>
                <w:rFonts w:ascii="Garamond" w:eastAsia="Times New Roman" w:hAnsi="Garamond"/>
                <w:b/>
                <w:szCs w:val="20"/>
              </w:rPr>
              <w:t>Время ценовой зоны</w:t>
            </w:r>
          </w:p>
        </w:tc>
        <w:tc>
          <w:tcPr>
            <w:tcW w:w="5386" w:type="dxa"/>
            <w:tcBorders>
              <w:left w:val="nil"/>
            </w:tcBorders>
          </w:tcPr>
          <w:p w14:paraId="1E3B69A2" w14:textId="77777777" w:rsidR="00A17725" w:rsidRPr="00247F6D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 w:rsidRPr="00247F6D">
              <w:rPr>
                <w:rFonts w:ascii="Garamond" w:hAnsi="Garamond"/>
              </w:rPr>
              <w:t>Время, применяемое в первой и второй ценовых зонах (соответственно, именуемое временем первой/второй ценовой зоны) оптового рынка при исполнении Участниками оптового рынка</w:t>
            </w:r>
            <w:r w:rsidRPr="00247F6D">
              <w:rPr>
                <w:rFonts w:ascii="Garamond" w:hAnsi="Garamond"/>
                <w:highlight w:val="yellow"/>
              </w:rPr>
              <w:t xml:space="preserve">, субъектами оптового рынка – </w:t>
            </w:r>
            <w:proofErr w:type="spellStart"/>
            <w:r w:rsidRPr="00247F6D">
              <w:rPr>
                <w:rFonts w:ascii="Garamond" w:hAnsi="Garamond"/>
                <w:highlight w:val="yellow"/>
              </w:rPr>
              <w:t>агрегаторами</w:t>
            </w:r>
            <w:proofErr w:type="spellEnd"/>
            <w:r w:rsidRPr="00247F6D">
              <w:rPr>
                <w:rFonts w:ascii="Garamond" w:hAnsi="Garamond"/>
              </w:rPr>
              <w:t xml:space="preserve"> и инфраструктурными организациями обязательств, предусмотренных Договором о присоединении и регламентами оптового рынка, и определяемое как московское (МСК).</w:t>
            </w:r>
          </w:p>
          <w:p w14:paraId="6850240C" w14:textId="77777777" w:rsidR="00A17725" w:rsidRPr="00121CD4" w:rsidRDefault="00A17725" w:rsidP="00A8401D">
            <w:pPr>
              <w:ind w:left="284"/>
              <w:jc w:val="both"/>
              <w:rPr>
                <w:rFonts w:ascii="Garamond" w:hAnsi="Garamond"/>
                <w:highlight w:val="yellow"/>
              </w:rPr>
            </w:pPr>
            <w:r w:rsidRPr="00247F6D">
              <w:rPr>
                <w:rFonts w:ascii="Garamond" w:hAnsi="Garamond"/>
              </w:rPr>
              <w:t>В отношении ГТП, отнесенных к первой или второй ценовой зоне, применяется московское время (МСК).</w:t>
            </w:r>
          </w:p>
        </w:tc>
      </w:tr>
      <w:tr w:rsidR="00A17725" w:rsidRPr="00121CD4" w14:paraId="7DD378C2" w14:textId="77777777" w:rsidTr="008E2D3C">
        <w:tc>
          <w:tcPr>
            <w:tcW w:w="1985" w:type="dxa"/>
            <w:tcBorders>
              <w:right w:val="nil"/>
            </w:tcBorders>
          </w:tcPr>
          <w:p w14:paraId="1F5EDCE1" w14:textId="569DFA07" w:rsidR="00A17725" w:rsidRPr="004D1C93" w:rsidRDefault="00A17725" w:rsidP="00A8401D">
            <w:pPr>
              <w:rPr>
                <w:rFonts w:ascii="Garamond" w:eastAsia="Times New Roman" w:hAnsi="Garamond"/>
                <w:b/>
                <w:szCs w:val="20"/>
              </w:rPr>
            </w:pPr>
            <w:r w:rsidRPr="004D1C93">
              <w:rPr>
                <w:rFonts w:ascii="Garamond" w:eastAsia="Times New Roman" w:hAnsi="Garamond"/>
                <w:b/>
                <w:szCs w:val="20"/>
              </w:rPr>
              <w:t>Интернет – сайты Системного оператора (веб-сайты Системного оператора)</w:t>
            </w:r>
          </w:p>
        </w:tc>
        <w:tc>
          <w:tcPr>
            <w:tcW w:w="5528" w:type="dxa"/>
            <w:tcBorders>
              <w:left w:val="nil"/>
            </w:tcBorders>
          </w:tcPr>
          <w:p w14:paraId="08A64921" w14:textId="77777777" w:rsidR="00A17725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 w:rsidRPr="00A17725">
              <w:rPr>
                <w:rFonts w:ascii="Garamond" w:hAnsi="Garamond"/>
              </w:rPr>
              <w:t xml:space="preserve">Информационные ресурсы, размещаемые в соответствии с законом, иными нормативными правовыми актами, </w:t>
            </w:r>
            <w:r w:rsidRPr="00FC64C9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A17725">
              <w:rPr>
                <w:rFonts w:ascii="Garamond" w:hAnsi="Garamond"/>
              </w:rPr>
              <w:t xml:space="preserve"> или по решению Системного оператора в сети Интернет для целей оперативного получения субъектами оптового рынка и иными лицами данных о Системном операторе, функционировании оптового рынка электроэнергии и мощности в части, относящейся к компетенции Системного оператора, а именно:</w:t>
            </w:r>
          </w:p>
          <w:p w14:paraId="5BDA6A45" w14:textId="77777777" w:rsidR="00A17725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154C6F45" w14:textId="041B3ECC" w:rsidR="00A17725" w:rsidRPr="00247F6D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 w:rsidRPr="00A17725">
              <w:rPr>
                <w:rFonts w:ascii="Garamond" w:hAnsi="Garamond"/>
              </w:rPr>
              <w:t xml:space="preserve">5) шлюз Системного оператора (шлюз СО) – специализированные децентрализованные технологические веб-сайты СО, обслуживаемые филиалами СО ОДУ и предназначенные для </w:t>
            </w:r>
            <w:r w:rsidRPr="00A17725">
              <w:rPr>
                <w:rFonts w:ascii="Garamond" w:hAnsi="Garamond"/>
              </w:rPr>
              <w:lastRenderedPageBreak/>
              <w:t xml:space="preserve">информационного взаимодействия с участниками оптового рынка при подаче уведомлений о составе и параметрах генерирующего оборудования, доведении плановых диспетчерских графиков и обмена иной информацией в объеме и сроки, определенные Правилами оптового рынка и </w:t>
            </w:r>
            <w:r w:rsidRPr="00FC64C9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FC64C9">
              <w:rPr>
                <w:rFonts w:ascii="Garamond" w:hAnsi="Garamond"/>
                <w:highlight w:val="yellow"/>
              </w:rPr>
              <w:t>.</w:t>
            </w:r>
          </w:p>
        </w:tc>
        <w:tc>
          <w:tcPr>
            <w:tcW w:w="1985" w:type="dxa"/>
            <w:tcBorders>
              <w:right w:val="nil"/>
            </w:tcBorders>
          </w:tcPr>
          <w:p w14:paraId="30556124" w14:textId="0FD21F30" w:rsidR="00A17725" w:rsidRPr="00FC64C9" w:rsidRDefault="00A17725" w:rsidP="00A8401D">
            <w:pPr>
              <w:rPr>
                <w:rFonts w:ascii="Garamond" w:eastAsia="Times New Roman" w:hAnsi="Garamond"/>
                <w:b/>
                <w:szCs w:val="20"/>
              </w:rPr>
            </w:pPr>
            <w:r w:rsidRPr="00FC64C9">
              <w:rPr>
                <w:rFonts w:ascii="Garamond" w:eastAsia="Times New Roman" w:hAnsi="Garamond"/>
                <w:b/>
                <w:szCs w:val="20"/>
              </w:rPr>
              <w:lastRenderedPageBreak/>
              <w:t>Интернет – сайты Системного оператора (веб-сайты Системного оператора)</w:t>
            </w:r>
          </w:p>
        </w:tc>
        <w:tc>
          <w:tcPr>
            <w:tcW w:w="5386" w:type="dxa"/>
            <w:tcBorders>
              <w:left w:val="nil"/>
            </w:tcBorders>
          </w:tcPr>
          <w:p w14:paraId="7B2D39C4" w14:textId="77777777" w:rsidR="00A17725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 w:rsidRPr="00A17725">
              <w:rPr>
                <w:rFonts w:ascii="Garamond" w:hAnsi="Garamond"/>
              </w:rPr>
              <w:t xml:space="preserve">Информационные ресурсы, размещаемые в соответствии с законом, иными нормативными правовыми актами, </w:t>
            </w:r>
            <w:r w:rsidRPr="00FC64C9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A17725">
              <w:rPr>
                <w:rFonts w:ascii="Garamond" w:hAnsi="Garamond"/>
              </w:rPr>
              <w:t xml:space="preserve"> или по решению Системного оператора в сети Интернет для целей оперативного получения субъектами оптового рынка и иными лицами данных о Системном операторе, функционировании оптового рынка электроэнергии и мощности в части, относящейся к компетенции Системного оператора, а именно:</w:t>
            </w:r>
          </w:p>
          <w:p w14:paraId="27922F15" w14:textId="77777777" w:rsidR="00A17725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6F082B42" w14:textId="77777777" w:rsidR="00A17725" w:rsidRPr="00A17725" w:rsidRDefault="00A17725" w:rsidP="00A17725">
            <w:pPr>
              <w:ind w:left="284"/>
              <w:jc w:val="both"/>
              <w:rPr>
                <w:rFonts w:ascii="Garamond" w:hAnsi="Garamond"/>
              </w:rPr>
            </w:pPr>
            <w:r w:rsidRPr="00A17725">
              <w:rPr>
                <w:rFonts w:ascii="Garamond" w:hAnsi="Garamond"/>
              </w:rPr>
              <w:t xml:space="preserve">5) шлюз Системного оператора (шлюз СО) – специализированные децентрализованные технологические веб-сайты СО, обслуживаемые филиалами СО ОДУ и предназначенные для </w:t>
            </w:r>
            <w:r w:rsidRPr="00A17725">
              <w:rPr>
                <w:rFonts w:ascii="Garamond" w:hAnsi="Garamond"/>
              </w:rPr>
              <w:lastRenderedPageBreak/>
              <w:t xml:space="preserve">информационного взаимодействия с участниками оптового рынка при подаче уведомлений о составе и параметрах генерирующего оборудования, доведении плановых диспетчерских графиков и обмена иной информацией в объеме и сроки, определенные Правилами оптового рынка и </w:t>
            </w:r>
            <w:r w:rsidRPr="00FC64C9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FC64C9">
              <w:rPr>
                <w:rFonts w:ascii="Garamond" w:hAnsi="Garamond"/>
                <w:highlight w:val="yellow"/>
              </w:rPr>
              <w:t>;</w:t>
            </w:r>
          </w:p>
          <w:p w14:paraId="27707A0A" w14:textId="17974FF3" w:rsidR="00A17725" w:rsidRPr="004D1C93" w:rsidRDefault="00A17725" w:rsidP="00A17725">
            <w:pPr>
              <w:ind w:left="284"/>
              <w:jc w:val="both"/>
              <w:rPr>
                <w:rFonts w:ascii="Garamond" w:hAnsi="Garamond"/>
                <w:highlight w:val="yellow"/>
              </w:rPr>
            </w:pPr>
            <w:r w:rsidRPr="00FC64C9">
              <w:rPr>
                <w:rFonts w:ascii="Garamond" w:hAnsi="Garamond"/>
                <w:highlight w:val="yellow"/>
              </w:rPr>
              <w:t>6) электронная торговая площадка СО в сети Интернет (ЭТП) – специализированный веб-сайт СО, предназначенный для проведения конкурентных отборов исполнителей услуг по управлению изменением режима потребления электрической энергии, обмена информацией с субъектами оптового рынка при аттестации объектов регулирования и агрегированных объектов управления, предоставления д</w:t>
            </w:r>
            <w:r w:rsidR="00477F15">
              <w:rPr>
                <w:rFonts w:ascii="Garamond" w:hAnsi="Garamond"/>
                <w:highlight w:val="yellow"/>
              </w:rPr>
              <w:t xml:space="preserve">анных субъектам оптового рынка </w:t>
            </w:r>
            <w:r w:rsidR="00477F15" w:rsidRPr="00477F15">
              <w:rPr>
                <w:rFonts w:ascii="Garamond" w:hAnsi="Garamond"/>
                <w:highlight w:val="yellow"/>
              </w:rPr>
              <w:t>–</w:t>
            </w:r>
            <w:r w:rsidRPr="00477F15">
              <w:rPr>
                <w:rFonts w:ascii="Garamond" w:hAnsi="Garamond"/>
                <w:highlight w:val="yellow"/>
              </w:rPr>
              <w:t xml:space="preserve"> </w:t>
            </w:r>
            <w:r w:rsidRPr="00FC64C9">
              <w:rPr>
                <w:rFonts w:ascii="Garamond" w:hAnsi="Garamond"/>
                <w:highlight w:val="yellow"/>
              </w:rPr>
              <w:t xml:space="preserve">исполнителям услуг по управлению изменением режима потребления электрической энергии о фактически исполненных объемах снижения потребления электрической энергии и показателях неготовности агрегированного объекта управления по итогам расчетного месяца и для обмена иной информацией между СО и субъектами оптового рынка, предусмотренной </w:t>
            </w:r>
            <w:r w:rsidRPr="004D1C93">
              <w:rPr>
                <w:rFonts w:ascii="Garamond" w:hAnsi="Garamond"/>
                <w:i/>
                <w:highlight w:val="yellow"/>
              </w:rPr>
              <w:t>Договором о присоединении к торговой системе оптового рынк</w:t>
            </w:r>
            <w:r w:rsidRPr="004D1C93">
              <w:rPr>
                <w:rFonts w:ascii="Garamond" w:hAnsi="Garamond"/>
                <w:highlight w:val="yellow"/>
              </w:rPr>
              <w:t>а;</w:t>
            </w:r>
          </w:p>
          <w:p w14:paraId="567C68F6" w14:textId="5CBC811C" w:rsidR="00A17725" w:rsidRPr="00247F6D" w:rsidRDefault="00A17725" w:rsidP="00A17725">
            <w:pPr>
              <w:ind w:left="284"/>
              <w:jc w:val="both"/>
              <w:rPr>
                <w:rFonts w:ascii="Garamond" w:hAnsi="Garamond"/>
              </w:rPr>
            </w:pPr>
            <w:r w:rsidRPr="004D1C93">
              <w:rPr>
                <w:rFonts w:ascii="Garamond" w:hAnsi="Garamond"/>
                <w:highlight w:val="yellow"/>
              </w:rPr>
              <w:t>7) информационная система (ИС) «Обеспечения работы механизмов управления спр</w:t>
            </w:r>
            <w:r w:rsidR="00477F15">
              <w:rPr>
                <w:rFonts w:ascii="Garamond" w:hAnsi="Garamond"/>
                <w:highlight w:val="yellow"/>
              </w:rPr>
              <w:t xml:space="preserve">осом на электрическую энергию» </w:t>
            </w:r>
            <w:r w:rsidR="00477F15" w:rsidRPr="00477F15">
              <w:rPr>
                <w:rFonts w:ascii="Garamond" w:hAnsi="Garamond"/>
                <w:highlight w:val="yellow"/>
              </w:rPr>
              <w:t>–</w:t>
            </w:r>
            <w:r w:rsidRPr="004D1C93">
              <w:rPr>
                <w:rFonts w:ascii="Garamond" w:hAnsi="Garamond"/>
                <w:highlight w:val="yellow"/>
              </w:rPr>
              <w:t xml:space="preserve"> специализированный технологический веб-сайт СО, предназначенный для обмена информацией между СО и субъектами оптового рынка при проведении тестирования объектов регулирования и агрегированных объектов </w:t>
            </w:r>
            <w:r w:rsidRPr="004D1C93">
              <w:rPr>
                <w:rFonts w:ascii="Garamond" w:hAnsi="Garamond"/>
                <w:highlight w:val="yellow"/>
              </w:rPr>
              <w:lastRenderedPageBreak/>
              <w:t>управления, исполнителями услуг по управлению изменением режима потребл</w:t>
            </w:r>
            <w:r w:rsidR="00064BC3">
              <w:rPr>
                <w:rFonts w:ascii="Garamond" w:hAnsi="Garamond"/>
                <w:highlight w:val="yellow"/>
              </w:rPr>
              <w:t xml:space="preserve">ения электрической энергии при </w:t>
            </w:r>
            <w:r w:rsidRPr="004D1C93">
              <w:rPr>
                <w:rFonts w:ascii="Garamond" w:hAnsi="Garamond"/>
                <w:highlight w:val="yellow"/>
              </w:rPr>
              <w:t xml:space="preserve">подаче уведомлений о готовности к оказанию услуг по управлению изменением режима потребления электрической энергии и иной информацией, предусмотренной </w:t>
            </w:r>
            <w:r w:rsidRPr="00FC64C9">
              <w:rPr>
                <w:rFonts w:ascii="Garamond" w:hAnsi="Garamond"/>
                <w:i/>
                <w:highlight w:val="yellow"/>
              </w:rPr>
              <w:t>Договором о присоединении к торговой системе оптового рынка</w:t>
            </w:r>
            <w:r w:rsidRPr="00FC64C9">
              <w:rPr>
                <w:rFonts w:ascii="Garamond" w:hAnsi="Garamond"/>
                <w:highlight w:val="yellow"/>
              </w:rPr>
              <w:t>.</w:t>
            </w:r>
          </w:p>
        </w:tc>
      </w:tr>
      <w:tr w:rsidR="00A17725" w:rsidRPr="00121CD4" w14:paraId="521B38AB" w14:textId="77777777" w:rsidTr="008E2D3C">
        <w:tc>
          <w:tcPr>
            <w:tcW w:w="1985" w:type="dxa"/>
            <w:tcBorders>
              <w:right w:val="nil"/>
            </w:tcBorders>
          </w:tcPr>
          <w:p w14:paraId="443F2B1E" w14:textId="1106E42D" w:rsidR="00A17725" w:rsidRPr="00FC64C9" w:rsidRDefault="00A17725" w:rsidP="00A8401D">
            <w:pPr>
              <w:rPr>
                <w:rFonts w:ascii="Garamond" w:eastAsia="Times New Roman" w:hAnsi="Garamond"/>
                <w:b/>
                <w:szCs w:val="20"/>
              </w:rPr>
            </w:pPr>
            <w:r w:rsidRPr="00FC64C9">
              <w:rPr>
                <w:rFonts w:ascii="Garamond" w:eastAsia="Times New Roman" w:hAnsi="Garamond"/>
                <w:b/>
                <w:szCs w:val="20"/>
              </w:rPr>
              <w:lastRenderedPageBreak/>
              <w:t>Оптовый рынок электрической энергии и мощности (оптовый рынок, ОРЭМ)</w:t>
            </w:r>
          </w:p>
        </w:tc>
        <w:tc>
          <w:tcPr>
            <w:tcW w:w="5528" w:type="dxa"/>
            <w:tcBorders>
              <w:left w:val="nil"/>
            </w:tcBorders>
          </w:tcPr>
          <w:p w14:paraId="4665F723" w14:textId="106A8CAC" w:rsidR="00A17725" w:rsidRPr="00247F6D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 w:rsidRPr="00A17725">
              <w:rPr>
                <w:rFonts w:ascii="Garamond" w:hAnsi="Garamond"/>
              </w:rPr>
              <w:t>Сфера обращения особых товаров – электрической энергии и мощности в рамках Единой энергетической системы России в границах единого экономического пространства Российской Федерации с участием крупных производителей и крупных покупателей электрической энергии и мощности, а также иных лиц, получивших статус субъекта оптового рынка и действующих на основе Правил оптового рынка.</w:t>
            </w:r>
          </w:p>
        </w:tc>
        <w:tc>
          <w:tcPr>
            <w:tcW w:w="1985" w:type="dxa"/>
            <w:tcBorders>
              <w:right w:val="nil"/>
            </w:tcBorders>
          </w:tcPr>
          <w:p w14:paraId="50C6E05E" w14:textId="4F2DCD33" w:rsidR="00A17725" w:rsidRPr="00FC64C9" w:rsidRDefault="00A17725" w:rsidP="00A8401D">
            <w:pPr>
              <w:rPr>
                <w:rFonts w:ascii="Garamond" w:eastAsia="Times New Roman" w:hAnsi="Garamond"/>
                <w:b/>
                <w:szCs w:val="20"/>
              </w:rPr>
            </w:pPr>
            <w:r w:rsidRPr="00FC64C9">
              <w:rPr>
                <w:rFonts w:ascii="Garamond" w:eastAsia="Times New Roman" w:hAnsi="Garamond"/>
                <w:b/>
                <w:szCs w:val="20"/>
              </w:rPr>
              <w:t>Оптовый рынок электрической энергии и мощности (оптовый рынок, ОРЭМ)</w:t>
            </w:r>
          </w:p>
        </w:tc>
        <w:tc>
          <w:tcPr>
            <w:tcW w:w="5386" w:type="dxa"/>
            <w:tcBorders>
              <w:left w:val="nil"/>
            </w:tcBorders>
          </w:tcPr>
          <w:p w14:paraId="789A4A24" w14:textId="54018B06" w:rsidR="00A17725" w:rsidRPr="00247F6D" w:rsidRDefault="00A17725" w:rsidP="00A8401D">
            <w:pPr>
              <w:ind w:left="284"/>
              <w:jc w:val="both"/>
              <w:rPr>
                <w:rFonts w:ascii="Garamond" w:hAnsi="Garamond"/>
              </w:rPr>
            </w:pPr>
            <w:r w:rsidRPr="00A17725">
              <w:rPr>
                <w:rFonts w:ascii="Garamond" w:hAnsi="Garamond"/>
              </w:rPr>
              <w:t>Сфера обращения особых товаров – электрической энергии и мощности</w:t>
            </w:r>
            <w:r w:rsidRPr="00FC64C9">
              <w:rPr>
                <w:rFonts w:ascii="Garamond" w:hAnsi="Garamond"/>
                <w:highlight w:val="yellow"/>
              </w:rPr>
              <w:t xml:space="preserve">, </w:t>
            </w:r>
            <w:r w:rsidR="00FC64C9">
              <w:rPr>
                <w:rFonts w:ascii="Garamond" w:hAnsi="Garamond"/>
                <w:highlight w:val="yellow"/>
              </w:rPr>
              <w:t xml:space="preserve">а также </w:t>
            </w:r>
            <w:r w:rsidRPr="00FC64C9">
              <w:rPr>
                <w:rFonts w:ascii="Garamond" w:hAnsi="Garamond"/>
                <w:highlight w:val="yellow"/>
              </w:rPr>
              <w:t>услуг по управлению изменением режима потребления электрической энергии</w:t>
            </w:r>
            <w:r w:rsidRPr="00A17725">
              <w:rPr>
                <w:rFonts w:ascii="Garamond" w:hAnsi="Garamond"/>
              </w:rPr>
              <w:t xml:space="preserve"> в рамках Единой энергетической системы России в границах единого экономического пространства Российской Федерации с участием крупных производителей и крупных покупателей электрической энергии и мощности, а также иных лиц, получивших статус субъекта оптового рынка и действующих на основе Правил оптового рынка</w:t>
            </w:r>
          </w:p>
        </w:tc>
      </w:tr>
      <w:bookmarkEnd w:id="6"/>
    </w:tbl>
    <w:p w14:paraId="2A47ED34" w14:textId="77777777" w:rsidR="00D3034F" w:rsidRDefault="00D3034F" w:rsidP="00B65E97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7D9913B9" w14:textId="496DF6EE" w:rsidR="00B65E97" w:rsidRDefault="00B65E97" w:rsidP="00477F15">
      <w:pPr>
        <w:spacing w:after="0" w:line="240" w:lineRule="auto"/>
        <w:rPr>
          <w:rFonts w:ascii="Garamond" w:eastAsia="Batang" w:hAnsi="Garamond" w:cs="Arial"/>
        </w:rPr>
      </w:pPr>
      <w:r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bookmarkStart w:id="7" w:name="_Toc260307774"/>
      <w:bookmarkStart w:id="8" w:name="_Toc211138623"/>
      <w:bookmarkStart w:id="9" w:name="_Toc204420353"/>
      <w:r>
        <w:rPr>
          <w:rFonts w:ascii="Garamond" w:hAnsi="Garamond" w:cs="Garamond"/>
          <w:b/>
          <w:bCs/>
          <w:sz w:val="26"/>
          <w:szCs w:val="26"/>
        </w:rPr>
        <w:t>РЕГЛАМЕНТ УЧАСТИЯ НА ОПТОВОМ РЫНКЕ ИСПОЛНИТЕЛЕЙ УСЛУГ ПО УПРАВЛЕНИЮ ИЗМЕНЕНИЕМ РЕЖИМА ПОТРЕБЛЕНИЯ</w:t>
      </w:r>
      <w:bookmarkEnd w:id="7"/>
      <w:bookmarkEnd w:id="8"/>
      <w:bookmarkEnd w:id="9"/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</w:t>
      </w:r>
      <w:r w:rsidR="00477F15">
        <w:rPr>
          <w:rFonts w:ascii="Garamond" w:hAnsi="Garamond" w:cs="Garamond"/>
          <w:b/>
          <w:bCs/>
          <w:sz w:val="26"/>
          <w:szCs w:val="26"/>
        </w:rPr>
        <w:t>риложение № 19.9.2 к Договору о </w:t>
      </w:r>
      <w:r>
        <w:rPr>
          <w:rFonts w:ascii="Garamond" w:hAnsi="Garamond" w:cs="Garamond"/>
          <w:b/>
          <w:bCs/>
          <w:sz w:val="26"/>
          <w:szCs w:val="26"/>
        </w:rPr>
        <w:t>присоединении к торговой системе оптового рынка)</w:t>
      </w:r>
    </w:p>
    <w:p w14:paraId="74968A01" w14:textId="6F44690F" w:rsidR="00B65E97" w:rsidRDefault="00B65E97" w:rsidP="00B65E97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50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6883"/>
        <w:gridCol w:w="7157"/>
      </w:tblGrid>
      <w:tr w:rsidR="00FF56F2" w14:paraId="7CB9D5CA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964E" w14:textId="77777777" w:rsidR="00FF56F2" w:rsidRDefault="00FF56F2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71FDDE96" w14:textId="77777777" w:rsidR="00FF56F2" w:rsidRDefault="00FF56F2" w:rsidP="00A8401D">
            <w:pPr>
              <w:widowControl w:val="0"/>
              <w:spacing w:after="0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1FCC" w14:textId="77777777" w:rsidR="00FF56F2" w:rsidRDefault="00FF56F2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4A3D9FF6" w14:textId="77777777" w:rsidR="00FF56F2" w:rsidRDefault="00FF56F2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8BD1" w14:textId="77777777" w:rsidR="00FF56F2" w:rsidRDefault="00FF56F2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Предлагаемые изменения</w:t>
            </w:r>
          </w:p>
          <w:p w14:paraId="49B69689" w14:textId="77777777" w:rsidR="00FF56F2" w:rsidRDefault="00FF56F2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</w:rPr>
            </w:pPr>
            <w:r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FF56F2" w14:paraId="5104B505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A64A" w14:textId="280F560E" w:rsidR="00FF56F2" w:rsidRDefault="00D14A5D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2.1.1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1AC1" w14:textId="77777777" w:rsidR="00FF56F2" w:rsidRPr="00A45F28" w:rsidRDefault="00FF56F2" w:rsidP="00D14A5D">
            <w:pPr>
              <w:pStyle w:val="af5"/>
              <w:widowControl w:val="0"/>
              <w:numPr>
                <w:ilvl w:val="2"/>
                <w:numId w:val="9"/>
              </w:numPr>
              <w:tabs>
                <w:tab w:val="num" w:pos="600"/>
              </w:tabs>
              <w:autoSpaceDE w:val="0"/>
              <w:autoSpaceDN w:val="0"/>
              <w:spacing w:before="120" w:after="120" w:line="240" w:lineRule="auto"/>
              <w:ind w:left="33" w:firstLine="0"/>
              <w:contextualSpacing w:val="0"/>
              <w:jc w:val="both"/>
              <w:rPr>
                <w:rFonts w:ascii="Garamond" w:hAnsi="Garamond"/>
              </w:rPr>
            </w:pPr>
            <w:r w:rsidRPr="00A45F28">
              <w:rPr>
                <w:rFonts w:ascii="Garamond" w:hAnsi="Garamond"/>
              </w:rPr>
              <w:t>Для целей выбора исполнителей услуг по управлению изменением режима потребления электрической энергии СО проводит отборы ресурса по управлению изменением режима потребления:</w:t>
            </w:r>
          </w:p>
          <w:p w14:paraId="6A0A4EF4" w14:textId="77777777" w:rsidR="00FF56F2" w:rsidRPr="00CB3D22" w:rsidRDefault="00FF56F2" w:rsidP="00D14A5D">
            <w:pPr>
              <w:pStyle w:val="af5"/>
              <w:widowControl w:val="0"/>
              <w:numPr>
                <w:ilvl w:val="0"/>
                <w:numId w:val="8"/>
              </w:num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284" w:firstLine="0"/>
              <w:contextualSpacing w:val="0"/>
              <w:jc w:val="both"/>
              <w:rPr>
                <w:rFonts w:ascii="Garamond" w:hAnsi="Garamond"/>
              </w:rPr>
            </w:pPr>
            <w:r w:rsidRPr="00CB3D22">
              <w:rPr>
                <w:rFonts w:ascii="Garamond" w:hAnsi="Garamond"/>
              </w:rPr>
              <w:t xml:space="preserve">долгосрочный отбор ресурса по управлению изменением режима потребления (далее – долгосрочный отбор ресурса) проводится на год </w:t>
            </w:r>
            <w:r w:rsidRPr="00B56246">
              <w:rPr>
                <w:rFonts w:ascii="Garamond" w:hAnsi="Garamond"/>
              </w:rPr>
              <w:t>X</w:t>
            </w:r>
            <w:r w:rsidRPr="00CB3D22">
              <w:rPr>
                <w:rFonts w:ascii="Garamond" w:hAnsi="Garamond"/>
              </w:rPr>
              <w:t xml:space="preserve"> (</w:t>
            </w:r>
            <w:r w:rsidRPr="00FC5223">
              <w:rPr>
                <w:rFonts w:ascii="Garamond" w:hAnsi="Garamond"/>
                <w:highlight w:val="yellow"/>
              </w:rPr>
              <w:t>на 4 (четыре) последовательных календарных квартала (</w:t>
            </w:r>
            <w:r w:rsidRPr="00CB3D22">
              <w:rPr>
                <w:rFonts w:ascii="Garamond" w:hAnsi="Garamond"/>
              </w:rPr>
              <w:t>период</w:t>
            </w:r>
            <w:r w:rsidRPr="00FC5223">
              <w:rPr>
                <w:rFonts w:ascii="Garamond" w:hAnsi="Garamond"/>
                <w:highlight w:val="yellow"/>
              </w:rPr>
              <w:t>а</w:t>
            </w:r>
            <w:r w:rsidRPr="00CB3D22">
              <w:rPr>
                <w:rFonts w:ascii="Garamond" w:hAnsi="Garamond"/>
              </w:rPr>
              <w:t xml:space="preserve"> оказания услуг</w:t>
            </w:r>
            <w:r w:rsidRPr="00FC5223">
              <w:rPr>
                <w:rFonts w:ascii="Garamond" w:hAnsi="Garamond"/>
                <w:highlight w:val="yellow"/>
              </w:rPr>
              <w:t>)</w:t>
            </w:r>
            <w:r w:rsidRPr="00CB3D22">
              <w:rPr>
                <w:rFonts w:ascii="Garamond" w:hAnsi="Garamond"/>
              </w:rPr>
              <w:t xml:space="preserve">) в срок не позднее 90 календарных дней с даты, до которой в соответствии с </w:t>
            </w:r>
            <w:r w:rsidRPr="00B56246">
              <w:rPr>
                <w:rFonts w:ascii="Garamond" w:hAnsi="Garamond"/>
              </w:rPr>
              <w:t xml:space="preserve">Регламентом проведения конкурентных </w:t>
            </w:r>
            <w:r w:rsidRPr="00B56246">
              <w:rPr>
                <w:rFonts w:ascii="Garamond" w:hAnsi="Garamond"/>
              </w:rPr>
              <w:lastRenderedPageBreak/>
              <w:t xml:space="preserve">отборов мощности </w:t>
            </w:r>
            <w:r w:rsidRPr="00CB3D22">
              <w:rPr>
                <w:rFonts w:ascii="Garamond" w:hAnsi="Garamond"/>
              </w:rPr>
              <w:t>(Приложение № 19.3 к</w:t>
            </w:r>
            <w:r w:rsidRPr="00B56246">
              <w:rPr>
                <w:rFonts w:ascii="Garamond" w:hAnsi="Garamond"/>
              </w:rPr>
              <w:t xml:space="preserve"> Договору о присоединении к торговой системе оптового рынка</w:t>
            </w:r>
            <w:r w:rsidRPr="00CB3D22">
              <w:rPr>
                <w:rFonts w:ascii="Garamond" w:hAnsi="Garamond"/>
              </w:rPr>
              <w:t>)</w:t>
            </w:r>
            <w:r w:rsidRPr="00B56246">
              <w:rPr>
                <w:rFonts w:ascii="Garamond" w:hAnsi="Garamond"/>
              </w:rPr>
              <w:t xml:space="preserve"> </w:t>
            </w:r>
            <w:r w:rsidRPr="00CB3D22">
              <w:rPr>
                <w:rFonts w:ascii="Garamond" w:hAnsi="Garamond"/>
              </w:rPr>
              <w:t xml:space="preserve">проводится КОМ на год </w:t>
            </w:r>
            <w:r w:rsidRPr="00B56246">
              <w:rPr>
                <w:rFonts w:ascii="Garamond" w:hAnsi="Garamond"/>
              </w:rPr>
              <w:t>X</w:t>
            </w:r>
            <w:r w:rsidRPr="00CB3D22">
              <w:rPr>
                <w:rFonts w:ascii="Garamond" w:hAnsi="Garamond"/>
              </w:rPr>
              <w:t>;</w:t>
            </w:r>
          </w:p>
          <w:p w14:paraId="2883E3FF" w14:textId="77777777" w:rsidR="00FF56F2" w:rsidRPr="00A45F28" w:rsidRDefault="00FF56F2" w:rsidP="00D14A5D">
            <w:pPr>
              <w:pStyle w:val="af5"/>
              <w:widowControl w:val="0"/>
              <w:numPr>
                <w:ilvl w:val="0"/>
                <w:numId w:val="8"/>
              </w:num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284" w:firstLine="0"/>
              <w:contextualSpacing w:val="0"/>
              <w:jc w:val="both"/>
              <w:rPr>
                <w:rFonts w:ascii="Garamond" w:hAnsi="Garamond"/>
              </w:rPr>
            </w:pPr>
            <w:r w:rsidRPr="00CB3D22">
              <w:rPr>
                <w:rFonts w:ascii="Garamond" w:hAnsi="Garamond"/>
              </w:rPr>
              <w:t xml:space="preserve">краткосрочный отбор ресурса по управлению изменением режима потребления (далее – краткосрочный отбор ресурса) проводится на календарный квартал </w:t>
            </w:r>
            <w:r w:rsidRPr="00B56246">
              <w:rPr>
                <w:rFonts w:ascii="Garamond" w:hAnsi="Garamond"/>
              </w:rPr>
              <w:t>Q</w:t>
            </w:r>
            <w:r w:rsidRPr="00CB3D22">
              <w:rPr>
                <w:rFonts w:ascii="Garamond" w:hAnsi="Garamond"/>
              </w:rPr>
              <w:t xml:space="preserve"> (период оказания услуг) не позднее чем за </w:t>
            </w:r>
            <w:r w:rsidRPr="00FC5223">
              <w:rPr>
                <w:rFonts w:ascii="Garamond" w:hAnsi="Garamond"/>
                <w:highlight w:val="yellow"/>
              </w:rPr>
              <w:t>60</w:t>
            </w:r>
            <w:r w:rsidRPr="00CB3D22">
              <w:rPr>
                <w:rFonts w:ascii="Garamond" w:hAnsi="Garamond"/>
              </w:rPr>
              <w:t xml:space="preserve"> календарных дней до начала квартала </w:t>
            </w:r>
            <w:r w:rsidRPr="00B56246">
              <w:rPr>
                <w:rFonts w:ascii="Garamond" w:hAnsi="Garamond"/>
              </w:rPr>
              <w:t>Q</w:t>
            </w:r>
            <w:r w:rsidRPr="00CB3D22">
              <w:rPr>
                <w:rFonts w:ascii="Garamond" w:hAnsi="Garamond"/>
              </w:rPr>
              <w:t>.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830E" w14:textId="77777777" w:rsidR="00FF56F2" w:rsidRPr="00A45F28" w:rsidRDefault="00FF56F2" w:rsidP="00D14A5D">
            <w:pPr>
              <w:pStyle w:val="af5"/>
              <w:widowControl w:val="0"/>
              <w:numPr>
                <w:ilvl w:val="2"/>
                <w:numId w:val="10"/>
              </w:numPr>
              <w:tabs>
                <w:tab w:val="left" w:pos="669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jc w:val="both"/>
              <w:rPr>
                <w:rFonts w:ascii="Garamond" w:hAnsi="Garamond"/>
              </w:rPr>
            </w:pPr>
            <w:r w:rsidRPr="00A45F28">
              <w:rPr>
                <w:rFonts w:ascii="Garamond" w:hAnsi="Garamond"/>
              </w:rPr>
              <w:lastRenderedPageBreak/>
              <w:t>Для целей выбора исполнителей услуг по управлению изменением режима потребления электрической энергии СО проводит отборы ресурса по управлению изменением режима потребления:</w:t>
            </w:r>
          </w:p>
          <w:p w14:paraId="1B868CA0" w14:textId="77777777" w:rsidR="00FF56F2" w:rsidRDefault="00FF56F2" w:rsidP="00D14A5D">
            <w:pPr>
              <w:pStyle w:val="af5"/>
              <w:widowControl w:val="0"/>
              <w:numPr>
                <w:ilvl w:val="0"/>
                <w:numId w:val="8"/>
              </w:num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284" w:firstLine="0"/>
              <w:contextualSpacing w:val="0"/>
              <w:jc w:val="both"/>
              <w:rPr>
                <w:rFonts w:ascii="Garamond" w:hAnsi="Garamond"/>
              </w:rPr>
            </w:pPr>
            <w:r w:rsidRPr="00CB3D22">
              <w:rPr>
                <w:rFonts w:ascii="Garamond" w:hAnsi="Garamond"/>
              </w:rPr>
              <w:t xml:space="preserve">долгосрочный отбор ресурса по управлению изменением режима потребления (далее – долгосрочный отбор ресурса) проводится на год </w:t>
            </w:r>
            <w:r w:rsidRPr="00B56246">
              <w:rPr>
                <w:rFonts w:ascii="Garamond" w:hAnsi="Garamond"/>
              </w:rPr>
              <w:t>X</w:t>
            </w:r>
            <w:r w:rsidRPr="00CB3D22">
              <w:rPr>
                <w:rFonts w:ascii="Garamond" w:hAnsi="Garamond"/>
              </w:rPr>
              <w:t xml:space="preserve"> (период оказания услуг) в срок не позднее 90 календарных дней с даты, до которой в соответствии с </w:t>
            </w:r>
            <w:r w:rsidRPr="00B56246">
              <w:rPr>
                <w:rFonts w:ascii="Garamond" w:hAnsi="Garamond"/>
              </w:rPr>
              <w:t xml:space="preserve">Регламентом проведения конкурентных отборов мощности </w:t>
            </w:r>
            <w:r w:rsidRPr="00CB3D22">
              <w:rPr>
                <w:rFonts w:ascii="Garamond" w:hAnsi="Garamond"/>
              </w:rPr>
              <w:t>(Приложение № 19.3 к</w:t>
            </w:r>
            <w:r w:rsidRPr="00B56246">
              <w:rPr>
                <w:rFonts w:ascii="Garamond" w:hAnsi="Garamond"/>
              </w:rPr>
              <w:t xml:space="preserve"> Договору о присоединении к </w:t>
            </w:r>
            <w:r w:rsidRPr="00B56246">
              <w:rPr>
                <w:rFonts w:ascii="Garamond" w:hAnsi="Garamond"/>
              </w:rPr>
              <w:lastRenderedPageBreak/>
              <w:t>торговой системе оптового рынка</w:t>
            </w:r>
            <w:r w:rsidRPr="00CB3D22">
              <w:rPr>
                <w:rFonts w:ascii="Garamond" w:hAnsi="Garamond"/>
              </w:rPr>
              <w:t>)</w:t>
            </w:r>
            <w:r w:rsidRPr="00B56246">
              <w:rPr>
                <w:rFonts w:ascii="Garamond" w:hAnsi="Garamond"/>
              </w:rPr>
              <w:t xml:space="preserve"> </w:t>
            </w:r>
            <w:r w:rsidRPr="00CB3D22">
              <w:rPr>
                <w:rFonts w:ascii="Garamond" w:hAnsi="Garamond"/>
              </w:rPr>
              <w:t xml:space="preserve">проводится КОМ на год </w:t>
            </w:r>
            <w:r w:rsidRPr="00B56246">
              <w:rPr>
                <w:rFonts w:ascii="Garamond" w:hAnsi="Garamond"/>
              </w:rPr>
              <w:t>X</w:t>
            </w:r>
            <w:r w:rsidRPr="00CB3D22">
              <w:rPr>
                <w:rFonts w:ascii="Garamond" w:hAnsi="Garamond"/>
              </w:rPr>
              <w:t>;</w:t>
            </w:r>
          </w:p>
          <w:p w14:paraId="13CD961E" w14:textId="77777777" w:rsidR="00FF56F2" w:rsidRDefault="00FF56F2" w:rsidP="00D14A5D">
            <w:pPr>
              <w:pStyle w:val="af5"/>
              <w:widowControl w:val="0"/>
              <w:numPr>
                <w:ilvl w:val="0"/>
                <w:numId w:val="8"/>
              </w:num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284" w:firstLine="0"/>
              <w:contextualSpacing w:val="0"/>
              <w:jc w:val="both"/>
              <w:rPr>
                <w:rFonts w:ascii="Garamond" w:hAnsi="Garamond"/>
              </w:rPr>
            </w:pPr>
            <w:r w:rsidRPr="00FC5223">
              <w:rPr>
                <w:rFonts w:ascii="Garamond" w:hAnsi="Garamond"/>
              </w:rPr>
              <w:t xml:space="preserve">краткосрочный отбор ресурса по управлению изменением режима потребления (далее – краткосрочный отбор ресурса) проводится на календарный квартал Q (период оказания услуг) не позднее чем за </w:t>
            </w:r>
            <w:r w:rsidRPr="00FC5223">
              <w:rPr>
                <w:rFonts w:ascii="Garamond" w:hAnsi="Garamond"/>
                <w:highlight w:val="yellow"/>
              </w:rPr>
              <w:t>20</w:t>
            </w:r>
            <w:r w:rsidRPr="00FC5223">
              <w:rPr>
                <w:rFonts w:ascii="Garamond" w:hAnsi="Garamond"/>
              </w:rPr>
              <w:t xml:space="preserve"> календарных дней до начала квартала Q </w:t>
            </w:r>
            <w:r w:rsidRPr="00FC5223">
              <w:rPr>
                <w:rFonts w:ascii="Garamond" w:hAnsi="Garamond"/>
                <w:highlight w:val="yellow"/>
              </w:rPr>
              <w:t>(при проведении краткосрочн</w:t>
            </w:r>
            <w:r>
              <w:rPr>
                <w:rFonts w:ascii="Garamond" w:hAnsi="Garamond"/>
                <w:highlight w:val="yellow"/>
              </w:rPr>
              <w:t>ых</w:t>
            </w:r>
            <w:r w:rsidRPr="00FC5223">
              <w:rPr>
                <w:rFonts w:ascii="Garamond" w:hAnsi="Garamond"/>
                <w:highlight w:val="yellow"/>
              </w:rPr>
              <w:t xml:space="preserve"> отбор</w:t>
            </w:r>
            <w:r>
              <w:rPr>
                <w:rFonts w:ascii="Garamond" w:hAnsi="Garamond"/>
                <w:highlight w:val="yellow"/>
              </w:rPr>
              <w:t>ов</w:t>
            </w:r>
            <w:r w:rsidRPr="00FC5223">
              <w:rPr>
                <w:rFonts w:ascii="Garamond" w:hAnsi="Garamond"/>
                <w:highlight w:val="yellow"/>
              </w:rPr>
              <w:t xml:space="preserve"> ресурса на 3 </w:t>
            </w:r>
            <w:r w:rsidRPr="009C4BF8">
              <w:rPr>
                <w:rFonts w:ascii="Garamond" w:hAnsi="Garamond"/>
                <w:highlight w:val="yellow"/>
              </w:rPr>
              <w:t xml:space="preserve">и 4 </w:t>
            </w:r>
            <w:r w:rsidRPr="00FC5223">
              <w:rPr>
                <w:rFonts w:ascii="Garamond" w:hAnsi="Garamond"/>
                <w:highlight w:val="yellow"/>
              </w:rPr>
              <w:t>квартал 2024 года – не позднее чем за 10 календарных дней до начала квартала Q)</w:t>
            </w:r>
            <w:r w:rsidRPr="00FC5223">
              <w:rPr>
                <w:rFonts w:ascii="Garamond" w:hAnsi="Garamond"/>
              </w:rPr>
              <w:t>.</w:t>
            </w:r>
          </w:p>
        </w:tc>
      </w:tr>
      <w:tr w:rsidR="00FF56F2" w14:paraId="23A2A2F9" w14:textId="77777777" w:rsidTr="00A66565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5C87" w14:textId="09435321" w:rsidR="00FF56F2" w:rsidRDefault="00D14A5D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2.2.2</w:t>
            </w:r>
            <w:r w:rsidR="00FF56F2">
              <w:rPr>
                <w:rFonts w:ascii="Garamond" w:eastAsiaTheme="minorHAnsi" w:hAnsi="Garamond" w:cs="Calibri"/>
                <w:b/>
              </w:rPr>
              <w:t xml:space="preserve"> 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8D79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2.2.2. </w:t>
            </w:r>
            <w:r w:rsidRPr="00CB3D22">
              <w:rPr>
                <w:rFonts w:ascii="Garamond" w:hAnsi="Garamond"/>
              </w:rPr>
              <w:t>Публикации подлежит следующ</w:t>
            </w:r>
            <w:bookmarkStart w:id="10" w:name="_GoBack"/>
            <w:bookmarkEnd w:id="10"/>
            <w:r w:rsidRPr="00CB3D22">
              <w:rPr>
                <w:rFonts w:ascii="Garamond" w:hAnsi="Garamond"/>
              </w:rPr>
              <w:t>ая информация:</w:t>
            </w:r>
          </w:p>
          <w:p w14:paraId="40AB1A0C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7F1315F2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д) </w:t>
            </w:r>
            <w:r w:rsidRPr="00637267">
              <w:rPr>
                <w:rFonts w:ascii="Garamond" w:hAnsi="Garamond"/>
              </w:rPr>
              <w:t xml:space="preserve">дата начала и длительность периода </w:t>
            </w:r>
            <w:r w:rsidRPr="00637267">
              <w:rPr>
                <w:rFonts w:ascii="Garamond" w:hAnsi="Garamond"/>
                <w:highlight w:val="yellow"/>
              </w:rPr>
              <w:t>(периодов)</w:t>
            </w:r>
            <w:r w:rsidRPr="00637267">
              <w:rPr>
                <w:rFonts w:ascii="Garamond" w:hAnsi="Garamond"/>
              </w:rPr>
              <w:t xml:space="preserve"> оказания услуг по управлению изменением режима потребления электрической энергии, в отношении которого </w:t>
            </w:r>
            <w:r w:rsidRPr="00637267">
              <w:rPr>
                <w:rFonts w:ascii="Garamond" w:hAnsi="Garamond"/>
                <w:highlight w:val="yellow"/>
              </w:rPr>
              <w:t>(которых)</w:t>
            </w:r>
            <w:r w:rsidRPr="00637267">
              <w:rPr>
                <w:rFonts w:ascii="Garamond" w:hAnsi="Garamond"/>
              </w:rPr>
              <w:t xml:space="preserve"> проводится отбор;</w:t>
            </w:r>
          </w:p>
          <w:p w14:paraId="1A3DF215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CB32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2.2.2. </w:t>
            </w:r>
            <w:r w:rsidRPr="00CB3D22">
              <w:rPr>
                <w:rFonts w:ascii="Garamond" w:hAnsi="Garamond"/>
              </w:rPr>
              <w:t>Публикации подлежит следующая информация:</w:t>
            </w:r>
          </w:p>
          <w:p w14:paraId="2F8C2684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2EAE5844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д) </w:t>
            </w:r>
            <w:r w:rsidRPr="00637267">
              <w:rPr>
                <w:rFonts w:ascii="Garamond" w:hAnsi="Garamond"/>
              </w:rPr>
              <w:t>дата начала и длительность периода оказания услуг по управлению изменением режима потребления электрической энергии, в отношении которого проводится отбор;</w:t>
            </w:r>
          </w:p>
          <w:p w14:paraId="717CF906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626A5097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</w:tc>
      </w:tr>
      <w:tr w:rsidR="00FF56F2" w14:paraId="424152A4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F66F" w14:textId="4D8F5824" w:rsidR="00FF56F2" w:rsidRDefault="00D14A5D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2.3.1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E135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2.3.1. </w:t>
            </w:r>
            <w:r w:rsidRPr="00CB3D22">
              <w:rPr>
                <w:rFonts w:ascii="Garamond" w:hAnsi="Garamond"/>
              </w:rPr>
              <w:t>Для участия в отборе ресурса по управлению изменением режима потребления необходимо выполнение следующих требований:</w:t>
            </w:r>
          </w:p>
          <w:p w14:paraId="5A0082C6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60A5BB92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б) </w:t>
            </w:r>
            <w:r w:rsidRPr="00CB3D22">
              <w:rPr>
                <w:rFonts w:ascii="Garamond" w:hAnsi="Garamond"/>
              </w:rPr>
              <w:t xml:space="preserve">участник </w:t>
            </w:r>
            <w:r w:rsidRPr="00CB3D22">
              <w:rPr>
                <w:rFonts w:ascii="Garamond" w:eastAsia="Batang" w:hAnsi="Garamond"/>
              </w:rPr>
              <w:t>отбора ресурса по управлению изменением режима потребления</w:t>
            </w:r>
            <w:r w:rsidRPr="00CB3D22">
              <w:rPr>
                <w:rFonts w:ascii="Garamond" w:hAnsi="Garamond"/>
              </w:rPr>
              <w:t xml:space="preserve"> заключил все необходимые для участия в отборе ресурса по управлению изменением режима потребления договоры (соглашения), предусмотренные </w:t>
            </w:r>
            <w:r w:rsidRPr="00CB3D22">
              <w:rPr>
                <w:rFonts w:ascii="Garamond" w:hAnsi="Garamond"/>
                <w:i/>
              </w:rPr>
              <w:t>Договором о присоединении</w:t>
            </w:r>
            <w:r w:rsidRPr="00637267">
              <w:rPr>
                <w:rFonts w:ascii="Garamond" w:hAnsi="Garamond"/>
                <w:highlight w:val="yellow"/>
              </w:rPr>
              <w:t>, а также договор коммерческого представительства исполнителя услуг по управлению изменением режима потребления</w:t>
            </w:r>
            <w:r w:rsidRPr="00CB3D22">
              <w:rPr>
                <w:rFonts w:ascii="Garamond" w:hAnsi="Garamond"/>
              </w:rPr>
              <w:t>;</w:t>
            </w:r>
          </w:p>
          <w:p w14:paraId="5119C17B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в) </w:t>
            </w:r>
            <w:r w:rsidRPr="00637267">
              <w:rPr>
                <w:rFonts w:ascii="Garamond" w:hAnsi="Garamond"/>
                <w:highlight w:val="yellow"/>
              </w:rPr>
              <w:t>в случаях, предусмотренных Правилами оптового рынка,</w:t>
            </w:r>
            <w:r w:rsidRPr="00CB3D22">
              <w:rPr>
                <w:rFonts w:ascii="Garamond" w:hAnsi="Garamond"/>
              </w:rPr>
              <w:t xml:space="preserve"> участник </w:t>
            </w:r>
            <w:r w:rsidRPr="00CB3D22">
              <w:rPr>
                <w:rFonts w:ascii="Garamond" w:eastAsia="Batang" w:hAnsi="Garamond"/>
              </w:rPr>
              <w:t>отбора ресурса по управлению изменением режима потребления</w:t>
            </w:r>
            <w:r w:rsidRPr="00CB3D22">
              <w:rPr>
                <w:rFonts w:ascii="Garamond" w:hAnsi="Garamond"/>
              </w:rPr>
              <w:t xml:space="preserve"> предоставил обеспечение исполнения его обязательств, возникающих по результатам отбора ресурса по управлению изменением режима потребления, в соответствии с порядком, предусмотренным разделом 4 настоящего Регламента;</w:t>
            </w:r>
          </w:p>
          <w:p w14:paraId="642065AC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5718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2.3.1. </w:t>
            </w:r>
            <w:r w:rsidRPr="00CB3D22">
              <w:rPr>
                <w:rFonts w:ascii="Garamond" w:hAnsi="Garamond"/>
              </w:rPr>
              <w:t>Для участия в отборе ресурса по управлению изменением режима потребления необходимо выполнение следующих требований:</w:t>
            </w:r>
          </w:p>
          <w:p w14:paraId="17BF04DE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162A87A0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б) </w:t>
            </w:r>
            <w:r w:rsidRPr="00CB3D22">
              <w:rPr>
                <w:rFonts w:ascii="Garamond" w:hAnsi="Garamond"/>
              </w:rPr>
              <w:t xml:space="preserve">участник </w:t>
            </w:r>
            <w:r w:rsidRPr="00CB3D22">
              <w:rPr>
                <w:rFonts w:ascii="Garamond" w:eastAsia="Batang" w:hAnsi="Garamond"/>
              </w:rPr>
              <w:t>отбора ресурса по управлению изменением режима потребления</w:t>
            </w:r>
            <w:r w:rsidRPr="00CB3D22">
              <w:rPr>
                <w:rFonts w:ascii="Garamond" w:hAnsi="Garamond"/>
              </w:rPr>
              <w:t xml:space="preserve"> заключил все необходимые для участия в отборе ресурса по управлению изменением режима потребления договоры (соглашения), предусмотренные </w:t>
            </w:r>
            <w:r w:rsidRPr="00CB3D22">
              <w:rPr>
                <w:rFonts w:ascii="Garamond" w:hAnsi="Garamond"/>
                <w:i/>
              </w:rPr>
              <w:t>Договором о присоединении</w:t>
            </w:r>
            <w:r w:rsidRPr="00CB3D22">
              <w:rPr>
                <w:rFonts w:ascii="Garamond" w:hAnsi="Garamond"/>
              </w:rPr>
              <w:t>;</w:t>
            </w:r>
          </w:p>
          <w:p w14:paraId="37487725" w14:textId="77777777" w:rsidR="00784842" w:rsidRDefault="0078484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  <w:p w14:paraId="78A1C9D5" w14:textId="4F16C320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в) </w:t>
            </w:r>
            <w:r w:rsidRPr="00CB3D22">
              <w:rPr>
                <w:rFonts w:ascii="Garamond" w:hAnsi="Garamond"/>
              </w:rPr>
              <w:t xml:space="preserve">участник </w:t>
            </w:r>
            <w:r w:rsidRPr="00CB3D22">
              <w:rPr>
                <w:rFonts w:ascii="Garamond" w:eastAsia="Batang" w:hAnsi="Garamond"/>
              </w:rPr>
              <w:t>отбора ресурса по управлению изменением режима потребления</w:t>
            </w:r>
            <w:r w:rsidRPr="00CB3D22">
              <w:rPr>
                <w:rFonts w:ascii="Garamond" w:hAnsi="Garamond"/>
              </w:rPr>
              <w:t xml:space="preserve"> предоставил обеспечение исполнения его обязательств, возникающих по результатам отбора ресурса по управлению изменением режима потребления, в соответствии с порядком, предусмотренным разделом 4 настоящего Регламента</w:t>
            </w:r>
            <w:r>
              <w:rPr>
                <w:rFonts w:ascii="Garamond" w:hAnsi="Garamond"/>
              </w:rPr>
              <w:t xml:space="preserve"> </w:t>
            </w:r>
            <w:r w:rsidRPr="008A71AE">
              <w:rPr>
                <w:rFonts w:ascii="Garamond" w:hAnsi="Garamond"/>
                <w:highlight w:val="yellow"/>
              </w:rPr>
              <w:t>(настоящее требование не применяется при проведении краткосрочного отбора ресурса на 3 квартал 2024 года)</w:t>
            </w:r>
            <w:r w:rsidRPr="00CB3D22">
              <w:rPr>
                <w:rFonts w:ascii="Garamond" w:hAnsi="Garamond"/>
              </w:rPr>
              <w:t>;</w:t>
            </w:r>
          </w:p>
          <w:p w14:paraId="71C8DFDF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FF56F2" w14:paraId="118E2317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3551" w14:textId="235AF565" w:rsidR="00FF56F2" w:rsidRDefault="00D14A5D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2.3.2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5929" w14:textId="77777777" w:rsidR="00FF56F2" w:rsidRDefault="00FF56F2" w:rsidP="00D14A5D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A3DC3">
              <w:rPr>
                <w:rFonts w:ascii="Garamond" w:hAnsi="Garamond"/>
              </w:rPr>
              <w:t>2.3.2.</w:t>
            </w:r>
            <w:r w:rsidRPr="00EA3DC3">
              <w:rPr>
                <w:rFonts w:ascii="Garamond" w:hAnsi="Garamond"/>
              </w:rPr>
              <w:tab/>
              <w:t xml:space="preserve">СО не позднее чем за 15 (пятнадцать) рабочих дней до начала срока подачи (приема) заявок направляет КО Реестр АОУ, </w:t>
            </w:r>
            <w:r w:rsidRPr="00EA3DC3">
              <w:rPr>
                <w:rFonts w:ascii="Garamond" w:hAnsi="Garamond"/>
              </w:rPr>
              <w:lastRenderedPageBreak/>
              <w:t>зарегистрированных за субъектами оптового рынка, в отношении которых выполняются условия, указанные в подпунктах «д» - «з»  пункта 2.3.1 настоящего Регламента.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79F2" w14:textId="77777777" w:rsidR="00FF56F2" w:rsidRDefault="00FF56F2" w:rsidP="00D14A5D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A3DC3">
              <w:rPr>
                <w:rFonts w:ascii="Garamond" w:hAnsi="Garamond"/>
              </w:rPr>
              <w:lastRenderedPageBreak/>
              <w:t>2.3.2.</w:t>
            </w:r>
            <w:r w:rsidRPr="00EA3DC3">
              <w:rPr>
                <w:rFonts w:ascii="Garamond" w:hAnsi="Garamond"/>
              </w:rPr>
              <w:tab/>
              <w:t xml:space="preserve">СО не позднее чем за 15 (пятнадцать) рабочих дней </w:t>
            </w:r>
            <w:r w:rsidRPr="00D14A5D">
              <w:rPr>
                <w:rFonts w:ascii="Garamond" w:hAnsi="Garamond"/>
                <w:highlight w:val="yellow"/>
              </w:rPr>
              <w:t>(</w:t>
            </w:r>
            <w:r w:rsidRPr="00EA3DC3">
              <w:rPr>
                <w:rFonts w:ascii="Garamond" w:hAnsi="Garamond"/>
                <w:highlight w:val="yellow"/>
              </w:rPr>
              <w:t xml:space="preserve">при проведении краткосрочного отбора ресурса на 3 квартал 2024 года – не позднее чем за </w:t>
            </w:r>
            <w:r>
              <w:rPr>
                <w:rFonts w:ascii="Garamond" w:hAnsi="Garamond"/>
                <w:highlight w:val="yellow"/>
              </w:rPr>
              <w:t>7</w:t>
            </w:r>
            <w:r w:rsidRPr="00EA3DC3">
              <w:rPr>
                <w:rFonts w:ascii="Garamond" w:hAnsi="Garamond"/>
                <w:highlight w:val="yellow"/>
              </w:rPr>
              <w:t xml:space="preserve"> </w:t>
            </w:r>
            <w:r w:rsidRPr="00EA3DC3">
              <w:rPr>
                <w:rFonts w:ascii="Garamond" w:hAnsi="Garamond"/>
                <w:highlight w:val="yellow"/>
              </w:rPr>
              <w:lastRenderedPageBreak/>
              <w:t>(</w:t>
            </w:r>
            <w:r>
              <w:rPr>
                <w:rFonts w:ascii="Garamond" w:hAnsi="Garamond"/>
                <w:highlight w:val="yellow"/>
              </w:rPr>
              <w:t>семь</w:t>
            </w:r>
            <w:r w:rsidRPr="00EA3DC3">
              <w:rPr>
                <w:rFonts w:ascii="Garamond" w:hAnsi="Garamond"/>
                <w:highlight w:val="yellow"/>
              </w:rPr>
              <w:t>) рабочих</w:t>
            </w:r>
            <w:r>
              <w:rPr>
                <w:rFonts w:ascii="Garamond" w:hAnsi="Garamond"/>
                <w:highlight w:val="yellow"/>
              </w:rPr>
              <w:t xml:space="preserve"> дней</w:t>
            </w:r>
            <w:r w:rsidRPr="00EA3DC3">
              <w:rPr>
                <w:rFonts w:ascii="Garamond" w:hAnsi="Garamond"/>
                <w:highlight w:val="yellow"/>
              </w:rPr>
              <w:t>)</w:t>
            </w:r>
            <w:r>
              <w:rPr>
                <w:rFonts w:ascii="Garamond" w:hAnsi="Garamond"/>
              </w:rPr>
              <w:t xml:space="preserve"> </w:t>
            </w:r>
            <w:r w:rsidRPr="00EA3DC3">
              <w:rPr>
                <w:rFonts w:ascii="Garamond" w:hAnsi="Garamond"/>
              </w:rPr>
              <w:t>до начала срока подачи (приема) заявок направляет КО Реестр АОУ, зарегистрированных за субъектами оптового рынка, в отношении которых выполняются условия, указанные в подпунктах «д» - «з»  пункта 2.3.1 настоящего Регламента</w:t>
            </w:r>
            <w:r w:rsidRPr="00C87CBE">
              <w:rPr>
                <w:rFonts w:ascii="Garamond" w:hAnsi="Garamond"/>
              </w:rPr>
              <w:t>.</w:t>
            </w:r>
          </w:p>
        </w:tc>
      </w:tr>
      <w:tr w:rsidR="00FF56F2" w14:paraId="1474ABB5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EB98" w14:textId="450A04FF" w:rsidR="00FF56F2" w:rsidRDefault="00D14A5D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2.3.3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EF93" w14:textId="4BDF0C7C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2.3.3. </w:t>
            </w:r>
            <w:r w:rsidRPr="00CB3D22">
              <w:rPr>
                <w:rFonts w:ascii="Garamond" w:hAnsi="Garamond"/>
              </w:rPr>
              <w:t xml:space="preserve">КО не позднее чем за 3 (три) рабочих дня до даты начала срока подачи (приема) заявок, определенной в соответствии с пунктом 2.2.2 настоящего Регламента, осуществляет проверки, указанные в подпунктах «а» - «г» пункта 2.3.1 настоящего Регламента, и направляет СО Реестр субъектов оптового рынка, которым предоставлено право на оказание услуги по управлению изменением режима потребления электрической энергии, с указанием зарегистрированных АОУ и суммы предоставленного обеспечения </w:t>
            </w:r>
            <w:r w:rsidRPr="000E40EA">
              <w:rPr>
                <w:rFonts w:ascii="Garamond" w:hAnsi="Garamond"/>
                <w:highlight w:val="yellow"/>
              </w:rPr>
              <w:t>(в случаях, установленных Правилами оптового рынка)</w:t>
            </w:r>
            <w:r w:rsidRPr="00CB3D22">
              <w:rPr>
                <w:rFonts w:ascii="Garamond" w:hAnsi="Garamond"/>
              </w:rPr>
              <w:t>, по форме, определенной Соглашением, заключенным между КО и СО (далее – Соглашение).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AD92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2.3.3. </w:t>
            </w:r>
            <w:r w:rsidRPr="00CB3D22">
              <w:rPr>
                <w:rFonts w:ascii="Garamond" w:hAnsi="Garamond"/>
              </w:rPr>
              <w:t>КО не позднее чем за 3 (три) рабочих дня до даты начала срока подачи (приема) заявок, определенной в соответствии с пунктом 2.2.2 настоящего Регламента, осуществляет проверки, указанные в подпунктах «а» - «г» пункта 2.3.1 настоящего Регламента, и направляет СО Реестр субъектов оптового рынка, которым предоставлено право на оказание услуги по управлению изменением режима потребления электрической энергии, с указанием зарегистрированных АОУ и суммы предоставленного обеспечения</w:t>
            </w:r>
            <w:r>
              <w:rPr>
                <w:rFonts w:ascii="Garamond" w:hAnsi="Garamond"/>
              </w:rPr>
              <w:t xml:space="preserve"> </w:t>
            </w:r>
            <w:r w:rsidRPr="00BC4E07">
              <w:rPr>
                <w:rFonts w:ascii="Garamond" w:hAnsi="Garamond"/>
                <w:highlight w:val="yellow"/>
              </w:rPr>
              <w:t>(при проведении краткосрочного отбора ресурса на 3 квартал 2024 года сумма предоставленного обеспечения указывается равной нулю),</w:t>
            </w:r>
            <w:r w:rsidRPr="00CB3D22">
              <w:rPr>
                <w:rFonts w:ascii="Garamond" w:hAnsi="Garamond"/>
              </w:rPr>
              <w:t xml:space="preserve"> по форме, определенной Соглашением, заключенным между КО и СО (далее – Соглашение).</w:t>
            </w:r>
          </w:p>
        </w:tc>
      </w:tr>
      <w:tr w:rsidR="00FF56F2" w14:paraId="4D162773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075C" w14:textId="2547C03B" w:rsidR="00FF56F2" w:rsidRDefault="00D14A5D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2.5.1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2EA3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2.5.1. </w:t>
            </w:r>
            <w:r w:rsidRPr="00CB3D22">
              <w:rPr>
                <w:rFonts w:ascii="Garamond" w:hAnsi="Garamond"/>
              </w:rPr>
              <w:t xml:space="preserve">В целях проведения </w:t>
            </w:r>
            <w:r w:rsidRPr="00CB3D22">
              <w:rPr>
                <w:rFonts w:ascii="Garamond" w:eastAsia="Batang" w:hAnsi="Garamond"/>
              </w:rPr>
              <w:t>отбора ресурса по управлению изменением режима потребления</w:t>
            </w:r>
            <w:r w:rsidRPr="00CB3D22">
              <w:rPr>
                <w:rFonts w:ascii="Garamond" w:hAnsi="Garamond"/>
              </w:rPr>
              <w:t xml:space="preserve"> СО формирует перечень заявок, соответствующих требованиям настоящего Регламента (далее – Перечень принятых заявок). Заявка включается в Перечень принятых заявок в случае ее соответствия следующим требованиям:</w:t>
            </w:r>
          </w:p>
          <w:p w14:paraId="4580F15D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7EB867EE" w14:textId="77777777" w:rsidR="00FF56F2" w:rsidRPr="008A71AE" w:rsidRDefault="00FF56F2" w:rsidP="00D14A5D">
            <w:pPr>
              <w:pStyle w:val="af5"/>
              <w:widowControl w:val="0"/>
              <w:numPr>
                <w:ilvl w:val="0"/>
                <w:numId w:val="5"/>
              </w:numPr>
              <w:tabs>
                <w:tab w:val="num" w:pos="600"/>
              </w:tabs>
              <w:autoSpaceDE w:val="0"/>
              <w:autoSpaceDN w:val="0"/>
              <w:spacing w:before="120" w:after="120" w:line="240" w:lineRule="auto"/>
              <w:ind w:left="33" w:firstLine="327"/>
              <w:contextualSpacing w:val="0"/>
              <w:jc w:val="both"/>
              <w:rPr>
                <w:rFonts w:ascii="Garamond" w:eastAsia="Times New Roman" w:hAnsi="Garamond"/>
                <w:lang w:eastAsia="ru-RU"/>
              </w:rPr>
            </w:pPr>
            <w:r w:rsidRPr="008A71AE">
              <w:rPr>
                <w:rFonts w:ascii="Garamond" w:hAnsi="Garamond"/>
                <w:highlight w:val="yellow"/>
              </w:rPr>
              <w:t>в случаях, установленных Правилами оптового рынка,</w:t>
            </w:r>
            <w:r w:rsidRPr="008A71AE">
              <w:rPr>
                <w:rFonts w:ascii="Garamond" w:hAnsi="Garamond"/>
              </w:rPr>
              <w:t xml:space="preserve"> обеспечение исполнения обязательств, возникающих по результатам отбора, предоставлено участником отбора ресурса по управлению изменением режима потребления в порядке, определенном разделом 4 настоящего Регламента и соответствует требованиям к достаточности обеспечения, предусмотренным пунктом </w:t>
            </w:r>
            <w:r w:rsidRPr="008A71AE">
              <w:rPr>
                <w:rFonts w:ascii="Garamond" w:hAnsi="Garamond"/>
                <w:highlight w:val="yellow"/>
              </w:rPr>
              <w:t>2.5.2</w:t>
            </w:r>
            <w:r w:rsidRPr="008A71AE">
              <w:rPr>
                <w:rFonts w:ascii="Garamond" w:hAnsi="Garamond"/>
              </w:rPr>
              <w:t xml:space="preserve"> настоящего Регламента.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0BED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2.5.1. </w:t>
            </w:r>
            <w:r w:rsidRPr="00CB3D22">
              <w:rPr>
                <w:rFonts w:ascii="Garamond" w:hAnsi="Garamond"/>
              </w:rPr>
              <w:t xml:space="preserve">В целях проведения </w:t>
            </w:r>
            <w:r w:rsidRPr="00CB3D22">
              <w:rPr>
                <w:rFonts w:ascii="Garamond" w:eastAsia="Batang" w:hAnsi="Garamond"/>
              </w:rPr>
              <w:t>отбора ресурса по управлению изменением режима потребления</w:t>
            </w:r>
            <w:r w:rsidRPr="00CB3D22">
              <w:rPr>
                <w:rFonts w:ascii="Garamond" w:hAnsi="Garamond"/>
              </w:rPr>
              <w:t xml:space="preserve"> СО формирует перечень заявок, соответствующих требованиям настоящего Регламента (далее – Перечень принятых заявок). Заявка включается в Перечень принятых заявок в случае ее соответствия следующим требованиям:</w:t>
            </w:r>
          </w:p>
          <w:p w14:paraId="2F6E3D51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33332B70" w14:textId="77777777" w:rsidR="00FF56F2" w:rsidRDefault="00FF56F2" w:rsidP="00D14A5D">
            <w:pPr>
              <w:pStyle w:val="af5"/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 w:line="240" w:lineRule="auto"/>
              <w:ind w:left="0" w:firstLine="360"/>
              <w:contextualSpacing w:val="0"/>
              <w:jc w:val="both"/>
              <w:rPr>
                <w:rFonts w:ascii="Garamond" w:eastAsiaTheme="minorHAnsi" w:hAnsi="Garamond" w:cs="Calibri"/>
                <w:b/>
              </w:rPr>
            </w:pPr>
            <w:r w:rsidRPr="008A71AE">
              <w:rPr>
                <w:rFonts w:ascii="Garamond" w:hAnsi="Garamond"/>
              </w:rPr>
              <w:t xml:space="preserve">обеспечение исполнения обязательств, возникающих по результатам отбора, предоставлено участником отбора ресурса по управлению изменением режима потребления в порядке, определенном разделом 4 настоящего Регламента и соответствует требованиям к достаточности обеспечения, предусмотренным пунктом </w:t>
            </w:r>
            <w:r w:rsidRPr="008A71AE">
              <w:rPr>
                <w:rFonts w:ascii="Garamond" w:hAnsi="Garamond"/>
                <w:highlight w:val="yellow"/>
              </w:rPr>
              <w:t>4.1</w:t>
            </w:r>
            <w:r w:rsidRPr="008A71AE">
              <w:rPr>
                <w:rFonts w:ascii="Garamond" w:hAnsi="Garamond"/>
              </w:rPr>
              <w:t xml:space="preserve"> настоящего Регламента</w:t>
            </w:r>
            <w:r>
              <w:rPr>
                <w:rFonts w:ascii="Garamond" w:hAnsi="Garamond"/>
              </w:rPr>
              <w:t xml:space="preserve"> </w:t>
            </w:r>
            <w:r w:rsidRPr="008A71AE">
              <w:rPr>
                <w:rFonts w:ascii="Garamond" w:hAnsi="Garamond"/>
                <w:highlight w:val="yellow"/>
              </w:rPr>
              <w:t>(настоящее требование не применяется при проведении краткосрочного отбора ресурса на 3 квартал 2024 года)</w:t>
            </w:r>
            <w:r w:rsidRPr="008A71AE">
              <w:rPr>
                <w:rFonts w:ascii="Garamond" w:hAnsi="Garamond"/>
              </w:rPr>
              <w:t>.</w:t>
            </w:r>
          </w:p>
        </w:tc>
      </w:tr>
      <w:tr w:rsidR="00FF56F2" w14:paraId="172AE8AE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56B8" w14:textId="77464896" w:rsidR="00FF56F2" w:rsidRPr="00AB4F36" w:rsidRDefault="00D14A5D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  <w:lang w:val="en-US"/>
              </w:rPr>
            </w:pPr>
            <w:r>
              <w:rPr>
                <w:rFonts w:ascii="Garamond" w:eastAsiaTheme="minorHAnsi" w:hAnsi="Garamond" w:cs="Calibri"/>
                <w:b/>
                <w:lang w:val="en-US"/>
              </w:rPr>
              <w:t>2.6.6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B8EB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AB4F36">
              <w:rPr>
                <w:rFonts w:ascii="Garamond" w:hAnsi="Garamond"/>
              </w:rPr>
              <w:t xml:space="preserve">2.6.6. </w:t>
            </w:r>
            <w:r w:rsidRPr="00CB3D22">
              <w:rPr>
                <w:rFonts w:ascii="Garamond" w:hAnsi="Garamond"/>
              </w:rPr>
              <w:t>СО не позднее 10 (десяти) календарных дней с даты окончания подачи заявок на отбор ресурса по управлению изменением режима потребления формирует и публикует на сайте СО Реестр итогов отбора ресурса по управлению изменением режима потребления (далее – Реестр итогов отбора), содержащий следующую информацию:</w:t>
            </w:r>
          </w:p>
          <w:p w14:paraId="1555F4AD" w14:textId="77777777" w:rsidR="00FF56F2" w:rsidRPr="00AB4F36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…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5A81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AB4F36">
              <w:rPr>
                <w:rFonts w:ascii="Garamond" w:hAnsi="Garamond"/>
              </w:rPr>
              <w:t xml:space="preserve">2.6.6. </w:t>
            </w:r>
            <w:r w:rsidRPr="00CB3D22">
              <w:rPr>
                <w:rFonts w:ascii="Garamond" w:hAnsi="Garamond"/>
              </w:rPr>
              <w:t xml:space="preserve">СО не позднее 10 (десяти) календарных дней с даты окончания подачи заявок на отбор ресурса по управлению изменением режима потребления </w:t>
            </w:r>
            <w:r w:rsidRPr="00AB4F36">
              <w:rPr>
                <w:rFonts w:ascii="Garamond" w:hAnsi="Garamond"/>
                <w:highlight w:val="yellow"/>
              </w:rPr>
              <w:t xml:space="preserve">(не позднее рабочего дня, следующего за датой окончания подачи заявок на краткосрочный отбор ресурса, проводимый на 3 </w:t>
            </w:r>
            <w:r>
              <w:rPr>
                <w:rFonts w:ascii="Garamond" w:hAnsi="Garamond"/>
                <w:highlight w:val="yellow"/>
              </w:rPr>
              <w:t>ил</w:t>
            </w:r>
            <w:r w:rsidRPr="009C4BF8">
              <w:rPr>
                <w:rFonts w:ascii="Garamond" w:hAnsi="Garamond"/>
                <w:highlight w:val="yellow"/>
              </w:rPr>
              <w:t>и 4</w:t>
            </w:r>
            <w:r>
              <w:rPr>
                <w:rFonts w:ascii="Garamond" w:hAnsi="Garamond"/>
                <w:highlight w:val="yellow"/>
              </w:rPr>
              <w:t xml:space="preserve"> </w:t>
            </w:r>
            <w:r w:rsidRPr="00AB4F36">
              <w:rPr>
                <w:rFonts w:ascii="Garamond" w:hAnsi="Garamond"/>
                <w:highlight w:val="yellow"/>
              </w:rPr>
              <w:t>квартал 2024 года)</w:t>
            </w:r>
            <w:r w:rsidRPr="00AB4F36">
              <w:rPr>
                <w:rFonts w:ascii="Garamond" w:hAnsi="Garamond"/>
              </w:rPr>
              <w:t xml:space="preserve"> </w:t>
            </w:r>
            <w:r w:rsidRPr="00CB3D22">
              <w:rPr>
                <w:rFonts w:ascii="Garamond" w:hAnsi="Garamond"/>
              </w:rPr>
              <w:t>формирует и публикует на сайте СО Реестр итогов отбора ресурса по управлению изменением режима потребления (далее – Реестр итогов отбора), содержащий следующую информацию:</w:t>
            </w:r>
          </w:p>
          <w:p w14:paraId="78D4CF8A" w14:textId="77777777" w:rsidR="00FF56F2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lastRenderedPageBreak/>
              <w:t>…</w:t>
            </w:r>
          </w:p>
        </w:tc>
      </w:tr>
      <w:tr w:rsidR="00F578FB" w14:paraId="6C8045EB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B660" w14:textId="100747AD" w:rsidR="00F578FB" w:rsidRPr="00F578FB" w:rsidRDefault="00F578FB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  <w:lang w:val="en-US"/>
              </w:rPr>
            </w:pPr>
            <w:r>
              <w:rPr>
                <w:rFonts w:ascii="Garamond" w:eastAsiaTheme="minorHAnsi" w:hAnsi="Garamond" w:cs="Calibri"/>
                <w:b/>
                <w:lang w:val="en-US"/>
              </w:rPr>
              <w:lastRenderedPageBreak/>
              <w:t>3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8BB8" w14:textId="1BF11B1A" w:rsidR="00F578FB" w:rsidRPr="00F578FB" w:rsidRDefault="00F578FB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  <w:b/>
              </w:rPr>
            </w:pPr>
            <w:r w:rsidRPr="00F578FB">
              <w:rPr>
                <w:rFonts w:ascii="Garamond" w:hAnsi="Garamond"/>
                <w:b/>
              </w:rPr>
              <w:t>Добавить раздел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DBA6" w14:textId="5EB84F0F" w:rsidR="00F578FB" w:rsidRPr="00F578FB" w:rsidRDefault="00F578FB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3</w:t>
            </w:r>
            <w:r w:rsidRPr="00924BD0">
              <w:rPr>
                <w:rFonts w:ascii="Garamond" w:hAnsi="Garamond"/>
                <w:b/>
                <w:highlight w:val="yellow"/>
              </w:rPr>
              <w:t>. Порядок заключения договоров</w:t>
            </w:r>
          </w:p>
        </w:tc>
      </w:tr>
      <w:tr w:rsidR="00F578FB" w14:paraId="58A75F76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0B4F" w14:textId="19BDA3A2" w:rsidR="00F578FB" w:rsidRPr="00F578FB" w:rsidRDefault="00F578FB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3.1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9A2E" w14:textId="568C02FF" w:rsidR="00F578FB" w:rsidRPr="00F578FB" w:rsidRDefault="00F578FB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Добавить пункт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DCD1" w14:textId="65CAA5B8" w:rsidR="00F578FB" w:rsidRDefault="00F578FB" w:rsidP="00D14A5D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3.1 </w:t>
            </w:r>
            <w:r w:rsidRPr="00924BD0">
              <w:rPr>
                <w:rFonts w:ascii="Garamond" w:hAnsi="Garamond"/>
                <w:b/>
                <w:highlight w:val="yellow"/>
              </w:rPr>
              <w:t>Порядок заключения договоров оказания услуг по управлению изменением режима потребления электрической энергии</w:t>
            </w:r>
          </w:p>
          <w:p w14:paraId="0BDDD7AB" w14:textId="1C856B2D" w:rsidR="00F578FB" w:rsidRPr="00F578FB" w:rsidRDefault="00F578FB" w:rsidP="00D14A5D">
            <w:pPr>
              <w:widowControl w:val="0"/>
              <w:autoSpaceDE w:val="0"/>
              <w:autoSpaceDN w:val="0"/>
              <w:spacing w:before="120" w:after="120" w:line="240" w:lineRule="auto"/>
              <w:ind w:firstLine="669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eastAsia="Batang" w:hAnsi="Garamond" w:cs="Garamond"/>
                <w:highlight w:val="yellow"/>
                <w:lang w:eastAsia="ar-SA"/>
              </w:rPr>
              <w:t>Договоры оказания услуг по управлению изменением режима потребления электрической энергии в отношении агрегированных объектов управления, отобранных по результатам отбора ресурса (как краткосрочного, так и долгосрочного), между исполнителями и ФСК, а также между исполнителями и</w:t>
            </w:r>
            <w:r>
              <w:rPr>
                <w:rFonts w:ascii="Garamond" w:hAnsi="Garamond"/>
                <w:bCs/>
                <w:highlight w:val="yellow"/>
              </w:rPr>
              <w:t xml:space="preserve"> учас</w:t>
            </w:r>
            <w:r w:rsidR="00F251EA">
              <w:rPr>
                <w:rFonts w:ascii="Garamond" w:hAnsi="Garamond"/>
                <w:bCs/>
                <w:highlight w:val="yellow"/>
              </w:rPr>
              <w:t xml:space="preserve">тниками оптового рынка </w:t>
            </w:r>
            <w:r w:rsidR="00F251EA">
              <w:rPr>
                <w:rFonts w:ascii="Garamond" w:eastAsia="Batang" w:hAnsi="Garamond" w:cs="Garamond"/>
                <w:highlight w:val="yellow"/>
                <w:lang w:eastAsia="ar-SA"/>
              </w:rPr>
              <w:t>–</w:t>
            </w:r>
            <w:r>
              <w:rPr>
                <w:rFonts w:ascii="Garamond" w:hAnsi="Garamond"/>
                <w:bCs/>
                <w:highlight w:val="yellow"/>
              </w:rPr>
              <w:t xml:space="preserve"> заказчиками, у которых право участия в торговле электрической энергией и мощностью на оптовом рынке с использованием соответствующих зарегистрированных групп точек поставки возникает не позднее 1-го числа месяца, следующего за месяцем, в котором опубликован реестр итогов отбора ресурса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>, заключаются в срок не позднее 1-го числа месяца</w:t>
            </w:r>
            <w:r>
              <w:rPr>
                <w:rFonts w:ascii="Garamond" w:hAnsi="Garamond"/>
                <w:bCs/>
                <w:highlight w:val="yellow"/>
              </w:rPr>
              <w:t>, следующего за месяцем, в котором опубликован реестр итогов отбора ресурса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, за исключением случаев, когда перечень субъектов оптового рынка, получивших право (лишившихся права) участия в торговле электрической энергией и (или) мощностью с начала месяца, </w:t>
            </w:r>
            <w:r>
              <w:rPr>
                <w:rFonts w:ascii="Garamond" w:hAnsi="Garamond"/>
                <w:bCs/>
                <w:highlight w:val="yellow"/>
              </w:rPr>
              <w:t>следующего за месяцем, в котором опубликован реестр итогов отбора ресурса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, был изменен позднее срока, указанного в </w:t>
            </w:r>
            <w:proofErr w:type="spellStart"/>
            <w:r>
              <w:rPr>
                <w:rFonts w:ascii="Garamond" w:eastAsia="Batang" w:hAnsi="Garamond" w:cs="Garamond"/>
                <w:highlight w:val="yellow"/>
                <w:lang w:eastAsia="ar-SA"/>
              </w:rPr>
              <w:t>абз</w:t>
            </w:r>
            <w:proofErr w:type="spellEnd"/>
            <w:r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. 1 п. 3.14 </w:t>
            </w:r>
            <w:r w:rsidRPr="009837AB">
              <w:rPr>
                <w:rFonts w:ascii="Garamond" w:eastAsia="Batang" w:hAnsi="Garamond" w:cs="Garamond"/>
                <w:i/>
                <w:highlight w:val="yellow"/>
                <w:lang w:eastAsia="ar-SA"/>
              </w:rPr>
              <w:t>Регламента допуска к торговой системе оптового рынка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(Приложение № 1 к </w:t>
            </w:r>
            <w:r w:rsidRPr="009837AB">
              <w:rPr>
                <w:rFonts w:ascii="Garamond" w:eastAsia="Batang" w:hAnsi="Garamond" w:cs="Garamond"/>
                <w:i/>
                <w:highlight w:val="yellow"/>
                <w:lang w:eastAsia="ar-SA"/>
              </w:rPr>
              <w:t>Договору о присоединении к торговой системе оптового рынка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>, далее – Регламент допуска)</w:t>
            </w:r>
            <w:r w:rsidR="009837AB">
              <w:rPr>
                <w:rFonts w:ascii="Garamond" w:hAnsi="Garamond"/>
                <w:bCs/>
                <w:highlight w:val="yellow"/>
              </w:rPr>
              <w:t>.</w:t>
            </w:r>
          </w:p>
        </w:tc>
      </w:tr>
      <w:tr w:rsidR="00FF56F2" w14:paraId="1D1AF9DB" w14:textId="77777777" w:rsidTr="00A8401D">
        <w:trPr>
          <w:trHeight w:val="43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2550" w14:textId="318E9AB4" w:rsidR="00FF56F2" w:rsidRPr="00AB4F36" w:rsidRDefault="00D14A5D" w:rsidP="00A8401D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08E" w14:textId="77777777" w:rsidR="00FF56F2" w:rsidRPr="00AB4F36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3D6DF00B" w14:textId="77777777" w:rsidR="00FF56F2" w:rsidRPr="00AB4F36" w:rsidRDefault="00A66565" w:rsidP="00D14A5D">
            <w:pPr>
              <w:widowControl w:val="0"/>
              <w:spacing w:before="120" w:after="120" w:line="240" w:lineRule="auto"/>
              <w:ind w:left="171"/>
              <w:jc w:val="both"/>
              <w:rPr>
                <w:rFonts w:ascii="Garamond" w:eastAsiaTheme="minorHAnsi" w:hAnsi="Garamond"/>
                <w:lang w:eastAsia="ru-RU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K</m:t>
                  </m:r>
                </m:e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 xml:space="preserve">обеспеч 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DR</m:t>
                  </m:r>
                </m:sup>
              </m:sSup>
            </m:oMath>
            <w:r w:rsidR="00FF56F2" w:rsidRPr="00AB4F36">
              <w:rPr>
                <w:rFonts w:ascii="Garamond" w:eastAsia="Garamond" w:hAnsi="Garamond"/>
                <w:lang w:eastAsia="ru-RU"/>
              </w:rPr>
              <w:t xml:space="preserve"> – </w:t>
            </w:r>
            <w:r w:rsidR="00FF56F2" w:rsidRPr="00AB4F36">
              <w:rPr>
                <w:rFonts w:ascii="Garamond" w:hAnsi="Garamond"/>
                <w:lang w:eastAsia="ru-RU"/>
              </w:rPr>
              <w:t>коэффициент равный:</w:t>
            </w:r>
          </w:p>
          <w:p w14:paraId="3D9EA246" w14:textId="77777777" w:rsidR="00FF56F2" w:rsidRPr="00AB4F36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к </w:t>
            </w:r>
            <w:r w:rsidRPr="00AB4F36">
              <w:rPr>
                <w:rFonts w:ascii="Garamond" w:eastAsiaTheme="minorEastAsia" w:hAnsi="Garamond"/>
                <w:highlight w:val="yellow"/>
                <w:lang w:eastAsia="ru-RU"/>
              </w:rPr>
              <w:t>первому полугодию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2024 года;</w:t>
            </w:r>
          </w:p>
          <w:p w14:paraId="09C42DD3" w14:textId="77777777" w:rsidR="00FF56F2" w:rsidRPr="00AB4F36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0,2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</w:t>
            </w:r>
            <w:r w:rsidRPr="00AB4F36">
              <w:rPr>
                <w:rFonts w:ascii="Garamond" w:eastAsiaTheme="minorEastAsia" w:hAnsi="Garamond"/>
                <w:highlight w:val="yellow"/>
                <w:lang w:eastAsia="ru-RU"/>
              </w:rPr>
              <w:t>ко второму полугодию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2024 года;</w:t>
            </w:r>
          </w:p>
          <w:p w14:paraId="461EBBB0" w14:textId="77777777" w:rsidR="00FF56F2" w:rsidRPr="00AB4F36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0,4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к первому полугодию 2025 года;</w:t>
            </w:r>
          </w:p>
          <w:p w14:paraId="24132615" w14:textId="77777777" w:rsidR="00FF56F2" w:rsidRPr="00AB4F36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0,6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ко второму полугодию 2025 года;</w:t>
            </w:r>
          </w:p>
          <w:p w14:paraId="0DA8B0A0" w14:textId="77777777" w:rsidR="00FF56F2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0,8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к первому </w:t>
            </w:r>
            <w:r w:rsidRPr="00AB4F36">
              <w:rPr>
                <w:rFonts w:ascii="Garamond" w:eastAsiaTheme="minorEastAsia" w:hAnsi="Garamond"/>
                <w:lang w:eastAsia="ru-RU"/>
              </w:rPr>
              <w:lastRenderedPageBreak/>
              <w:t>полугодию 2026 года;</w:t>
            </w:r>
          </w:p>
          <w:p w14:paraId="1B8C980F" w14:textId="77777777" w:rsidR="00FF56F2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hAnsi="Garamond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>1 – для остальных периодов отбора ресурса.</w:t>
            </w:r>
          </w:p>
          <w:p w14:paraId="7BB2382F" w14:textId="77777777" w:rsidR="00FF56F2" w:rsidRPr="00AB4F36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60E0" w14:textId="77777777" w:rsidR="00FF56F2" w:rsidRPr="00AB4F36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…</w:t>
            </w:r>
          </w:p>
          <w:p w14:paraId="64EB70AD" w14:textId="77777777" w:rsidR="00FF56F2" w:rsidRPr="00AB4F36" w:rsidRDefault="00A66565" w:rsidP="00D14A5D">
            <w:pPr>
              <w:widowControl w:val="0"/>
              <w:spacing w:before="120" w:after="120" w:line="240" w:lineRule="auto"/>
              <w:ind w:left="171"/>
              <w:jc w:val="both"/>
              <w:rPr>
                <w:rFonts w:ascii="Garamond" w:eastAsiaTheme="minorHAnsi" w:hAnsi="Garamond"/>
                <w:lang w:eastAsia="ru-RU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K</m:t>
                  </m:r>
                </m:e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 xml:space="preserve">обеспеч 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DR</m:t>
                  </m:r>
                </m:sup>
              </m:sSup>
            </m:oMath>
            <w:r w:rsidR="00FF56F2" w:rsidRPr="00AB4F36">
              <w:rPr>
                <w:rFonts w:ascii="Garamond" w:eastAsia="Garamond" w:hAnsi="Garamond"/>
                <w:lang w:eastAsia="ru-RU"/>
              </w:rPr>
              <w:t xml:space="preserve"> – </w:t>
            </w:r>
            <w:r w:rsidR="00FF56F2" w:rsidRPr="00AB4F36">
              <w:rPr>
                <w:rFonts w:ascii="Garamond" w:hAnsi="Garamond"/>
                <w:lang w:eastAsia="ru-RU"/>
              </w:rPr>
              <w:t>коэффициент равный:</w:t>
            </w:r>
          </w:p>
          <w:p w14:paraId="374E8E11" w14:textId="77777777" w:rsidR="00FF56F2" w:rsidRPr="00AB4F36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к </w:t>
            </w:r>
            <w:r w:rsidRPr="00AB4F36">
              <w:rPr>
                <w:rFonts w:ascii="Garamond" w:eastAsiaTheme="minorEastAsia" w:hAnsi="Garamond"/>
                <w:highlight w:val="yellow"/>
                <w:lang w:eastAsia="ru-RU"/>
              </w:rPr>
              <w:t>третьему кварталу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2024 года</w:t>
            </w:r>
            <w:r>
              <w:rPr>
                <w:rFonts w:ascii="Garamond" w:eastAsiaTheme="minorEastAsia" w:hAnsi="Garamond"/>
                <w:lang w:eastAsia="ru-RU"/>
              </w:rPr>
              <w:t xml:space="preserve"> </w:t>
            </w:r>
            <w:r w:rsidRPr="00AB4F36">
              <w:rPr>
                <w:rFonts w:ascii="Garamond" w:eastAsiaTheme="minorEastAsia" w:hAnsi="Garamond"/>
                <w:highlight w:val="yellow"/>
                <w:lang w:eastAsia="ru-RU"/>
              </w:rPr>
              <w:t>(для участия в таких отборах предоставление обеспечения не требуется)</w:t>
            </w:r>
            <w:r w:rsidRPr="00AB4F36">
              <w:rPr>
                <w:rFonts w:ascii="Garamond" w:eastAsiaTheme="minorEastAsia" w:hAnsi="Garamond"/>
                <w:lang w:eastAsia="ru-RU"/>
              </w:rPr>
              <w:t>;</w:t>
            </w:r>
          </w:p>
          <w:p w14:paraId="5BACE742" w14:textId="77777777" w:rsidR="00FF56F2" w:rsidRPr="00AB4F36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0,2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</w:t>
            </w:r>
            <w:r w:rsidRPr="00AB4F36">
              <w:rPr>
                <w:rFonts w:ascii="Garamond" w:eastAsiaTheme="minorEastAsia" w:hAnsi="Garamond"/>
                <w:highlight w:val="yellow"/>
                <w:lang w:eastAsia="ru-RU"/>
              </w:rPr>
              <w:t>к четвертому кварталу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2024 года;</w:t>
            </w:r>
          </w:p>
          <w:p w14:paraId="1330BAF4" w14:textId="77777777" w:rsidR="00FF56F2" w:rsidRPr="00AB4F36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0,4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к первому полугодию 2025 года;</w:t>
            </w:r>
          </w:p>
          <w:p w14:paraId="4F80CC4D" w14:textId="77777777" w:rsidR="00FF56F2" w:rsidRPr="00AB4F36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 xml:space="preserve">0,6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ко второму полугодию 2025 года;</w:t>
            </w:r>
          </w:p>
          <w:p w14:paraId="1B2A7F84" w14:textId="77777777" w:rsidR="00FF56F2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lang w:eastAsia="ru-RU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lastRenderedPageBreak/>
              <w:t xml:space="preserve">0,8 </w:t>
            </w:r>
            <w:r w:rsidRPr="00AB4F36">
              <w:rPr>
                <w:rFonts w:ascii="Garamond" w:hAnsi="Garamond"/>
                <w:lang w:eastAsia="ru-RU"/>
              </w:rPr>
              <w:t>–</w:t>
            </w:r>
            <w:r w:rsidRPr="00AB4F36">
              <w:rPr>
                <w:rFonts w:ascii="Garamond" w:eastAsiaTheme="minorEastAsia" w:hAnsi="Garamond"/>
                <w:lang w:eastAsia="ru-RU"/>
              </w:rPr>
              <w:t xml:space="preserve"> если период отбора ресурса относится к первому полугодию 2026 года;</w:t>
            </w:r>
          </w:p>
          <w:p w14:paraId="486AA0C0" w14:textId="77777777" w:rsidR="00FF56F2" w:rsidRDefault="00FF56F2" w:rsidP="00D14A5D">
            <w:pPr>
              <w:widowControl w:val="0"/>
              <w:spacing w:before="120" w:after="120" w:line="240" w:lineRule="auto"/>
              <w:ind w:left="1134"/>
              <w:jc w:val="both"/>
              <w:rPr>
                <w:rFonts w:ascii="Garamond" w:hAnsi="Garamond"/>
              </w:rPr>
            </w:pPr>
            <w:r w:rsidRPr="00AB4F36">
              <w:rPr>
                <w:rFonts w:ascii="Garamond" w:eastAsiaTheme="minorEastAsia" w:hAnsi="Garamond"/>
                <w:lang w:eastAsia="ru-RU"/>
              </w:rPr>
              <w:t>1 – для остальных периодов отбора ресурса.</w:t>
            </w:r>
          </w:p>
          <w:p w14:paraId="3DA5CFA0" w14:textId="0E7FCB77" w:rsidR="00FF56F2" w:rsidRPr="00AB4F36" w:rsidRDefault="00FF56F2" w:rsidP="00D14A5D">
            <w:pPr>
              <w:widowControl w:val="0"/>
              <w:tabs>
                <w:tab w:val="num" w:pos="1146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</w:tbl>
    <w:p w14:paraId="1017CE1F" w14:textId="77777777" w:rsidR="008E2D3C" w:rsidRDefault="008E2D3C" w:rsidP="00224C14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</w:p>
    <w:p w14:paraId="5307357D" w14:textId="7C4B2C7C" w:rsidR="00224C14" w:rsidRPr="0013586C" w:rsidRDefault="00224C14" w:rsidP="00224C14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  <w:r w:rsidRPr="0013586C">
        <w:rPr>
          <w:rFonts w:ascii="Garamond" w:hAnsi="Garamond"/>
          <w:b/>
          <w:iCs/>
          <w:sz w:val="26"/>
          <w:szCs w:val="26"/>
        </w:rPr>
        <w:t xml:space="preserve">Предложения по изменениям и дополнениям в </w:t>
      </w:r>
      <w:r w:rsidRPr="0013586C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13586C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13586C">
        <w:rPr>
          <w:rFonts w:ascii="Garamond" w:hAnsi="Garamond"/>
          <w:b/>
          <w:iCs/>
          <w:sz w:val="26"/>
          <w:szCs w:val="26"/>
        </w:rPr>
        <w:t xml:space="preserve"> (</w:t>
      </w:r>
      <w:r w:rsidRPr="0013586C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13586C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13586C">
        <w:rPr>
          <w:rFonts w:ascii="Garamond" w:hAnsi="Garamond"/>
          <w:b/>
          <w:iCs/>
          <w:sz w:val="26"/>
          <w:szCs w:val="26"/>
        </w:rPr>
        <w:t>)</w:t>
      </w:r>
    </w:p>
    <w:p w14:paraId="569BE6BB" w14:textId="77777777" w:rsidR="00224C14" w:rsidRPr="003B5E91" w:rsidRDefault="00224C14" w:rsidP="00224C14">
      <w:pPr>
        <w:widowControl w:val="0"/>
        <w:spacing w:after="0" w:line="240" w:lineRule="auto"/>
        <w:rPr>
          <w:rFonts w:ascii="Garamond" w:hAnsi="Garamond"/>
          <w:b/>
          <w:bCs/>
        </w:rPr>
      </w:pPr>
    </w:p>
    <w:p w14:paraId="35EF8A79" w14:textId="77777777" w:rsidR="00224C14" w:rsidRDefault="00224C14" w:rsidP="00224C14">
      <w:pPr>
        <w:rPr>
          <w:rFonts w:ascii="Garamond" w:eastAsiaTheme="minorHAnsi" w:hAnsi="Garamond"/>
          <w:b/>
          <w:bCs/>
        </w:rPr>
      </w:pPr>
      <w:r>
        <w:rPr>
          <w:rFonts w:ascii="Garamond" w:hAnsi="Garamond"/>
          <w:b/>
          <w:bCs/>
        </w:rPr>
        <w:t>Действующая редакция</w:t>
      </w:r>
    </w:p>
    <w:tbl>
      <w:tblPr>
        <w:tblW w:w="15033" w:type="dxa"/>
        <w:tblInd w:w="-15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409"/>
        <w:gridCol w:w="992"/>
        <w:gridCol w:w="850"/>
        <w:gridCol w:w="709"/>
        <w:gridCol w:w="842"/>
        <w:gridCol w:w="1134"/>
        <w:gridCol w:w="1142"/>
        <w:gridCol w:w="992"/>
        <w:gridCol w:w="1555"/>
        <w:gridCol w:w="997"/>
        <w:gridCol w:w="717"/>
        <w:gridCol w:w="850"/>
        <w:gridCol w:w="709"/>
      </w:tblGrid>
      <w:tr w:rsidR="008E2D3C" w:rsidRPr="008C6FEC" w14:paraId="327A36F9" w14:textId="77777777" w:rsidTr="00EB5266">
        <w:trPr>
          <w:trHeight w:val="1092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0DB21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35416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D9453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0272A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B6F7F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10AB7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4F56E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86CD4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3E233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9888E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89B1C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34DD3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D6A86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C6C79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8E2D3C" w:rsidRPr="008C6FEC" w14:paraId="7D68BD20" w14:textId="77777777" w:rsidTr="00EB5266">
        <w:trPr>
          <w:trHeight w:val="61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BC035" w14:textId="77777777" w:rsidR="008E2D3C" w:rsidRPr="008C6FEC" w:rsidRDefault="008E2D3C" w:rsidP="008E2D3C">
            <w:pPr>
              <w:spacing w:after="0" w:line="240" w:lineRule="auto"/>
              <w:ind w:right="-83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8C6FEC">
              <w:rPr>
                <w:rFonts w:ascii="Arial" w:hAnsi="Arial" w:cs="Arial"/>
                <w:sz w:val="18"/>
                <w:szCs w:val="18"/>
                <w:lang w:val="en-US"/>
              </w:rPr>
              <w:t>CFR_PART_DR_START_NOTICE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96B40" w14:textId="77777777" w:rsidR="008E2D3C" w:rsidRPr="008C6FEC" w:rsidRDefault="008E2D3C" w:rsidP="00FC2D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>Уведомление о начале финансовых расчетов по договорам на оптовом рынке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4405B" w14:textId="77777777" w:rsidR="008E2D3C" w:rsidRPr="008C6FEC" w:rsidRDefault="008E2D3C" w:rsidP="00FC2D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Регламент № 16, п. 2.2, приложение 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5AF30" w14:textId="77777777" w:rsidR="008E2D3C" w:rsidRPr="008C6FEC" w:rsidRDefault="008E2D3C" w:rsidP="00FC2D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6FE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E8CE4" w14:textId="77777777" w:rsidR="008E2D3C" w:rsidRPr="008C6FEC" w:rsidRDefault="008E2D3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36DB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FF978" w14:textId="77777777" w:rsidR="008E2D3C" w:rsidRPr="008C6FEC" w:rsidRDefault="008E2D3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24724" w14:textId="77777777" w:rsidR="008E2D3C" w:rsidRPr="008C6FEC" w:rsidRDefault="008E2D3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FDBAF" w14:textId="77777777" w:rsidR="008E2D3C" w:rsidRPr="008C6FEC" w:rsidRDefault="008E2D3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BBDD6" w14:textId="77777777" w:rsidR="008E2D3C" w:rsidRPr="008C6FEC" w:rsidRDefault="008E2D3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E9ED8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1.3.6.1.4.1.18545.1.2.1.8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0B815" w14:textId="77777777" w:rsidR="008E2D3C" w:rsidRPr="008C6FEC" w:rsidRDefault="008E2D3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6FE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Word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2E1E2" w14:textId="77777777" w:rsidR="008E2D3C" w:rsidRPr="008C6FEC" w:rsidRDefault="008E2D3C" w:rsidP="00FC2D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0764A" w14:textId="77777777" w:rsidR="008E2D3C" w:rsidRPr="008C6FEC" w:rsidRDefault="008E2D3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6D0E5" w14:textId="77777777" w:rsidR="008E2D3C" w:rsidRPr="008C6FEC" w:rsidRDefault="008E2D3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69BC" w:rsidRPr="008C6FEC" w14:paraId="0746DF63" w14:textId="77777777" w:rsidTr="00EB5266">
        <w:trPr>
          <w:trHeight w:val="276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AD268" w14:textId="6006F7BD" w:rsidR="00BB69BC" w:rsidRPr="008C6FEC" w:rsidRDefault="00BB69BC" w:rsidP="00BB69BC">
            <w:pPr>
              <w:spacing w:after="0" w:line="240" w:lineRule="auto"/>
              <w:ind w:right="-8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CFR_NOTE_BANKRUPT_JUDGE_ATS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6A098" w14:textId="065AF43E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 xml:space="preserve">Перечень 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участников</w:t>
            </w: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 xml:space="preserve"> оптового рынка, в отношении которых инициирована процедура банкротства по состоянию на ___________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C5A2" w14:textId="6A58952F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21.1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991B3" w14:textId="636021C9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73C32" w14:textId="79FD0391" w:rsidR="00BB69BC" w:rsidRPr="007436DB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1E88" w14:textId="7A7ED2ED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9357A" w14:textId="6E6EB4AC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5CB8" w14:textId="28161DF3" w:rsidR="00BB69B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2B8B1" w14:textId="7387C9AB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41A77" w14:textId="3B508F85" w:rsidR="00BB69BC" w:rsidRPr="008C6FEC" w:rsidRDefault="00BB69BC" w:rsidP="00BB69B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841F7" w14:textId="1C9EB876" w:rsidR="00BB69BC" w:rsidRPr="008C6FEC" w:rsidRDefault="00BB69BC" w:rsidP="00BB69B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76871" w14:textId="101743DD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E6403" w14:textId="77777777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F79F7" w14:textId="77777777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69BC" w:rsidRPr="008C6FEC" w14:paraId="09684DBC" w14:textId="77777777" w:rsidTr="00EB5266">
        <w:trPr>
          <w:trHeight w:val="1402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8673" w14:textId="67932337" w:rsidR="00BB69BC" w:rsidRPr="008C6FEC" w:rsidRDefault="00BB69BC" w:rsidP="00BB69BC">
            <w:pPr>
              <w:spacing w:after="0" w:line="240" w:lineRule="auto"/>
              <w:ind w:right="-8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CFR_NOTE_BANKRUPT_JUDGE_SR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CDAB2" w14:textId="12BADC16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 xml:space="preserve">Перечень 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участников</w:t>
            </w: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 xml:space="preserve"> оптового рынка, в отношении которых инициирована процедура банкротства по состоянию на ___________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EAE3D" w14:textId="2599E912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21.1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3040" w14:textId="1C8F3068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AFC24" w14:textId="3C40C998" w:rsidR="00BB69BC" w:rsidRPr="007436DB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B258" w14:textId="1C828E75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Совет рынка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19576" w14:textId="579FE7DC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FB240" w14:textId="2C8EB618" w:rsidR="00BB69B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607AF" w14:textId="79EC8205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19486" w14:textId="0144E8B7" w:rsidR="00BB69BC" w:rsidRPr="008C6FEC" w:rsidRDefault="00BB69BC" w:rsidP="00BB69B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BAB41" w14:textId="4BA0615D" w:rsidR="00BB69BC" w:rsidRPr="008C6FEC" w:rsidRDefault="00BB69BC" w:rsidP="00BB69B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59688" w14:textId="62C3FF0E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CC8E8" w14:textId="77777777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4539C" w14:textId="77777777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F377049" w14:textId="77777777" w:rsidR="00756F1E" w:rsidRDefault="00756F1E" w:rsidP="00224C14">
      <w:pPr>
        <w:rPr>
          <w:rFonts w:ascii="Garamond" w:hAnsi="Garamond"/>
          <w:b/>
          <w:bCs/>
        </w:rPr>
      </w:pPr>
    </w:p>
    <w:p w14:paraId="066001BC" w14:textId="77777777" w:rsidR="00756F1E" w:rsidRDefault="00756F1E" w:rsidP="00224C14">
      <w:pPr>
        <w:rPr>
          <w:rFonts w:ascii="Garamond" w:hAnsi="Garamond"/>
          <w:b/>
          <w:bCs/>
        </w:rPr>
      </w:pPr>
    </w:p>
    <w:p w14:paraId="033D7FFF" w14:textId="7CDB5BDC" w:rsidR="00224C14" w:rsidRDefault="00224C14" w:rsidP="00224C14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Предлагаемая редакция</w:t>
      </w:r>
    </w:p>
    <w:tbl>
      <w:tblPr>
        <w:tblW w:w="15159" w:type="dxa"/>
        <w:tblInd w:w="-15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551"/>
        <w:gridCol w:w="1134"/>
        <w:gridCol w:w="850"/>
        <w:gridCol w:w="851"/>
        <w:gridCol w:w="842"/>
        <w:gridCol w:w="1134"/>
        <w:gridCol w:w="1134"/>
        <w:gridCol w:w="850"/>
        <w:gridCol w:w="1555"/>
        <w:gridCol w:w="997"/>
        <w:gridCol w:w="709"/>
        <w:gridCol w:w="850"/>
        <w:gridCol w:w="567"/>
      </w:tblGrid>
      <w:tr w:rsidR="00BB69BC" w:rsidRPr="008C6FEC" w14:paraId="4333AD66" w14:textId="77777777" w:rsidTr="00EB5266">
        <w:trPr>
          <w:trHeight w:val="1092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2001C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B118E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D5731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6CE24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EFEAA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C9374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19EDC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82FF9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512F6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54759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F1552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1CB86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99A43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FDA39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BB69BC" w:rsidRPr="008C6FEC" w14:paraId="5A9D588D" w14:textId="77777777" w:rsidTr="00EB5266">
        <w:trPr>
          <w:trHeight w:val="13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00317" w14:textId="77777777" w:rsidR="00BB69BC" w:rsidRPr="008C6FEC" w:rsidRDefault="00BB69BC" w:rsidP="00FC2D6E">
            <w:pPr>
              <w:spacing w:after="0" w:line="240" w:lineRule="auto"/>
              <w:ind w:right="-83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8C6FEC">
              <w:rPr>
                <w:rFonts w:ascii="Arial" w:hAnsi="Arial" w:cs="Arial"/>
                <w:sz w:val="18"/>
                <w:szCs w:val="18"/>
                <w:lang w:val="en-US"/>
              </w:rPr>
              <w:t>CFR_PART_DR_START_NOTICE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34573" w14:textId="77777777" w:rsidR="00BB69BC" w:rsidRPr="008C6FEC" w:rsidRDefault="00BB69BC" w:rsidP="00FC2D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>Уведомление о начале финансовых расчетов по договорам на оптовом рынке электроэнергии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C1A2F" w14:textId="77777777" w:rsidR="00BB69BC" w:rsidRPr="008C6FEC" w:rsidRDefault="00BB69BC" w:rsidP="00FC2D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Регламент № 16, п. 2.2, приложение 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52289" w14:textId="77777777" w:rsidR="00BB69BC" w:rsidRPr="008C6FEC" w:rsidRDefault="00BB69BC" w:rsidP="00FC2D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6FE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docx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ADB15" w14:textId="65EA3275" w:rsidR="00BB69BC" w:rsidRPr="008C6FEC" w:rsidRDefault="00BB69B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69B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ЦФР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36B08" w14:textId="77777777" w:rsidR="00BB69BC" w:rsidRPr="008C6FEC" w:rsidRDefault="00BB69B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DC06F" w14:textId="77777777" w:rsidR="00BB69BC" w:rsidRPr="008C6FEC" w:rsidRDefault="00BB69B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C5AD0" w14:textId="77777777" w:rsidR="00BB69BC" w:rsidRPr="008C6FEC" w:rsidRDefault="00BB69B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49409" w14:textId="77777777" w:rsidR="00BB69BC" w:rsidRPr="008C6FEC" w:rsidRDefault="00BB69B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FF923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1.3.6.1.4.1.18545.1.2.1.8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55B5A" w14:textId="77777777" w:rsidR="00BB69BC" w:rsidRPr="008C6FEC" w:rsidRDefault="00BB69BC" w:rsidP="00FC2D6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6FE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Word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E68E7" w14:textId="77777777" w:rsidR="00BB69BC" w:rsidRPr="008C6FEC" w:rsidRDefault="00BB69BC" w:rsidP="00FC2D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B649E" w14:textId="77777777" w:rsidR="00BB69BC" w:rsidRPr="008C6FEC" w:rsidRDefault="00BB69B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6FEC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00784" w14:textId="77777777" w:rsidR="00BB69BC" w:rsidRPr="008C6FEC" w:rsidRDefault="00BB69BC" w:rsidP="00FC2D6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69BC" w:rsidRPr="008C6FEC" w14:paraId="4F571726" w14:textId="77777777" w:rsidTr="00EB5266">
        <w:trPr>
          <w:trHeight w:val="1441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AEDF7" w14:textId="7B3D16A1" w:rsidR="00BB69BC" w:rsidRPr="008C6FEC" w:rsidRDefault="00BB69BC" w:rsidP="00BB69BC">
            <w:pPr>
              <w:spacing w:after="0" w:line="240" w:lineRule="auto"/>
              <w:ind w:right="-8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CFR_NOTE_BANKRUPT_JUDGE_ATS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A2BA7" w14:textId="77777777" w:rsidR="00BB69BC" w:rsidRPr="001D7E27" w:rsidRDefault="00BB69BC" w:rsidP="00BB69BC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7E27">
              <w:rPr>
                <w:rFonts w:ascii="Arial" w:hAnsi="Arial" w:cs="Arial"/>
                <w:color w:val="000000"/>
                <w:sz w:val="18"/>
                <w:szCs w:val="18"/>
              </w:rPr>
              <w:t xml:space="preserve">Перечень 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субъектов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</w:rPr>
              <w:t xml:space="preserve"> оптового рынка 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(в </w:t>
            </w:r>
            <w:proofErr w:type="spellStart"/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т.ч</w:t>
            </w:r>
            <w:proofErr w:type="spellEnd"/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 лишенных статуса субъекта оптового рынка)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78680746" w14:textId="42898799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</w:pPr>
            <w:r w:rsidRPr="001D7E27">
              <w:rPr>
                <w:rFonts w:ascii="Arial" w:hAnsi="Arial" w:cs="Arial"/>
                <w:color w:val="000000"/>
                <w:sz w:val="18"/>
                <w:szCs w:val="18"/>
              </w:rPr>
              <w:t>в отношении которых инициирована процедура банкротства по состоянию на ____________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E202" w14:textId="77777777" w:rsidR="00BB69BC" w:rsidRDefault="00BB69BC" w:rsidP="00BB69BC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21.1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49EC13DF" w14:textId="10A93F44" w:rsidR="00BB69BC" w:rsidRPr="008C6FEC" w:rsidRDefault="00EB5266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</w:t>
            </w:r>
            <w:r w:rsidR="00BB69BC" w:rsidRPr="007008C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риложение 113б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2D34" w14:textId="111888EF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9D98A" w14:textId="7549E1E2" w:rsidR="00BB69BC" w:rsidRPr="007436DB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B5F12" w14:textId="2E6B899F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B15F8" w14:textId="6E8B6F9A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6C288" w14:textId="764554CA" w:rsidR="00BB69B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1A391" w14:textId="5CD2AE4F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CA214" w14:textId="19760051" w:rsidR="00BB69BC" w:rsidRPr="008C6FEC" w:rsidRDefault="00BB69BC" w:rsidP="00BB69B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2C025" w14:textId="5EF6E151" w:rsidR="00BB69BC" w:rsidRPr="008C6FEC" w:rsidRDefault="00BB69BC" w:rsidP="00BB69B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20E0E" w14:textId="402EBB9D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1F4EB" w14:textId="77777777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C04C" w14:textId="77777777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69BC" w:rsidRPr="008C6FEC" w14:paraId="6DCA23FA" w14:textId="77777777" w:rsidTr="00EB5266">
        <w:trPr>
          <w:trHeight w:val="1528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EA3D" w14:textId="5BE0520C" w:rsidR="00BB69BC" w:rsidRPr="008C6FEC" w:rsidRDefault="00BB69BC" w:rsidP="00BB69BC">
            <w:pPr>
              <w:spacing w:after="0" w:line="240" w:lineRule="auto"/>
              <w:ind w:right="-8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CFR_NOTE_BANKRUPT_JUDGE_SR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8724C" w14:textId="77777777" w:rsidR="00BB69BC" w:rsidRPr="001D7E27" w:rsidRDefault="00BB69BC" w:rsidP="00BB69BC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7E27">
              <w:rPr>
                <w:rFonts w:ascii="Arial" w:hAnsi="Arial" w:cs="Arial"/>
                <w:color w:val="000000"/>
                <w:sz w:val="18"/>
                <w:szCs w:val="18"/>
              </w:rPr>
              <w:t xml:space="preserve">Перечень 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субъектов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</w:rPr>
              <w:t xml:space="preserve"> оптового рынка 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(в </w:t>
            </w:r>
            <w:proofErr w:type="spellStart"/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т.ч</w:t>
            </w:r>
            <w:proofErr w:type="spellEnd"/>
            <w:r w:rsidRPr="001D7E2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 лишенных статуса субъекта оптового рынка)</w:t>
            </w:r>
            <w:r w:rsidRPr="001D7E27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726A1367" w14:textId="0A05A295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</w:pPr>
            <w:r w:rsidRPr="001D7E27">
              <w:rPr>
                <w:rFonts w:ascii="Arial" w:hAnsi="Arial" w:cs="Arial"/>
                <w:color w:val="000000"/>
                <w:sz w:val="18"/>
                <w:szCs w:val="18"/>
              </w:rPr>
              <w:t>в отношении которых инициирована процедура банкротства по состоянию на ____________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AE0DC" w14:textId="77777777" w:rsidR="00BB69BC" w:rsidRDefault="00BB69BC" w:rsidP="00BB69BC">
            <w:pPr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21.1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6A77502D" w14:textId="5FE1958E" w:rsidR="00BB69BC" w:rsidRPr="008C6FEC" w:rsidRDefault="00EB5266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</w:t>
            </w:r>
            <w:r w:rsidR="00BB69BC" w:rsidRPr="007008CF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риложение 113б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BAEA1" w14:textId="0483FBAC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3FFD" w14:textId="565A9999" w:rsidR="00BB69BC" w:rsidRPr="007436DB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9D28" w14:textId="6CC3718C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Совет рынка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FF5F9" w14:textId="20E80870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C479F" w14:textId="00987ED8" w:rsidR="00BB69B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46366" w14:textId="7546C2E3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0237" w14:textId="36AF74EE" w:rsidR="00BB69BC" w:rsidRPr="008C6FEC" w:rsidRDefault="00BB69BC" w:rsidP="00BB69B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FE0BC" w14:textId="04259439" w:rsidR="00BB69BC" w:rsidRPr="008C6FEC" w:rsidRDefault="00BB69BC" w:rsidP="00BB69B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3D60" w14:textId="30B4064E" w:rsidR="00BB69BC" w:rsidRPr="008C6FEC" w:rsidRDefault="00BB69BC" w:rsidP="00BB69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08CF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864BD" w14:textId="77777777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D90D6" w14:textId="77777777" w:rsidR="00BB69BC" w:rsidRPr="008C6FEC" w:rsidRDefault="00BB69BC" w:rsidP="00BB69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74C4777" w14:textId="1197F89B" w:rsidR="00224C14" w:rsidRDefault="00224C14" w:rsidP="00224C14">
      <w:pPr>
        <w:spacing w:after="0" w:line="240" w:lineRule="auto"/>
        <w:ind w:right="-314"/>
      </w:pPr>
    </w:p>
    <w:p w14:paraId="3836A01D" w14:textId="77777777" w:rsidR="00E264A6" w:rsidRDefault="00E264A6" w:rsidP="002C3015"/>
    <w:sectPr w:rsidR="00E264A6" w:rsidSect="00C14DCB">
      <w:pgSz w:w="16838" w:h="11906" w:orient="landscape"/>
      <w:pgMar w:top="1134" w:right="680" w:bottom="851" w:left="1247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39DAA" w14:textId="77777777" w:rsidR="00A00BB1" w:rsidRDefault="00A00BB1" w:rsidP="00DE15B2">
      <w:pPr>
        <w:spacing w:after="0" w:line="240" w:lineRule="auto"/>
      </w:pPr>
      <w:r>
        <w:separator/>
      </w:r>
    </w:p>
  </w:endnote>
  <w:endnote w:type="continuationSeparator" w:id="0">
    <w:p w14:paraId="734FBA71" w14:textId="77777777" w:rsidR="00A00BB1" w:rsidRDefault="00A00BB1" w:rsidP="00DE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1B4DC" w14:textId="77777777" w:rsidR="00C14DCB" w:rsidRDefault="00C14DCB" w:rsidP="00823864">
    <w:pPr>
      <w:pStyle w:val="ad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16341731" w14:textId="77777777" w:rsidR="00C14DCB" w:rsidRDefault="00C14DCB" w:rsidP="00823864">
    <w:pPr>
      <w:pStyle w:val="ad"/>
      <w:ind w:right="360"/>
    </w:pPr>
  </w:p>
  <w:p w14:paraId="676A8046" w14:textId="77777777" w:rsidR="00C14DCB" w:rsidRDefault="00C14D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BCDAE" w14:textId="77777777" w:rsidR="00C14DCB" w:rsidRDefault="00C14DCB" w:rsidP="00B25B12">
    <w:pPr>
      <w:pStyle w:val="ad"/>
      <w:ind w:right="360"/>
    </w:pPr>
  </w:p>
  <w:p w14:paraId="141E695A" w14:textId="77777777" w:rsidR="00C14DCB" w:rsidRDefault="00C14DC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A2F3" w14:textId="798270D0" w:rsidR="00A8401D" w:rsidRDefault="00A840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54F22" w14:textId="77777777" w:rsidR="00A00BB1" w:rsidRDefault="00A00BB1" w:rsidP="00DE15B2">
      <w:pPr>
        <w:spacing w:after="0" w:line="240" w:lineRule="auto"/>
      </w:pPr>
      <w:r>
        <w:separator/>
      </w:r>
    </w:p>
  </w:footnote>
  <w:footnote w:type="continuationSeparator" w:id="0">
    <w:p w14:paraId="5872AEA5" w14:textId="77777777" w:rsidR="00A00BB1" w:rsidRDefault="00A00BB1" w:rsidP="00DE1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0B41A00"/>
    <w:lvl w:ilvl="0">
      <w:start w:val="1"/>
      <w:numFmt w:val="none"/>
      <w:suff w:val="nothing"/>
      <w:lvlText w:val=""/>
      <w:lvlJc w:val="left"/>
      <w:rPr>
        <w:rFonts w:cs="Cambria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Cambria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cs="Cambria" w:hint="default"/>
        <w:b w:val="0"/>
        <w:i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cs="Cambria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Cambria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Cambria" w:hint="default"/>
      </w:rPr>
    </w:lvl>
    <w:lvl w:ilvl="6">
      <w:start w:val="1"/>
      <w:numFmt w:val="none"/>
      <w:suff w:val="nothing"/>
      <w:lvlText w:val=""/>
      <w:lvlJc w:val="left"/>
      <w:rPr>
        <w:rFonts w:cs="Cambria" w:hint="default"/>
      </w:rPr>
    </w:lvl>
    <w:lvl w:ilvl="7">
      <w:start w:val="1"/>
      <w:numFmt w:val="none"/>
      <w:suff w:val="nothing"/>
      <w:lvlText w:val=""/>
      <w:lvlJc w:val="left"/>
      <w:rPr>
        <w:rFonts w:cs="Cambria" w:hint="default"/>
      </w:rPr>
    </w:lvl>
    <w:lvl w:ilvl="8">
      <w:start w:val="1"/>
      <w:numFmt w:val="none"/>
      <w:suff w:val="nothing"/>
      <w:lvlText w:val=""/>
      <w:lvlJc w:val="left"/>
      <w:rPr>
        <w:rFonts w:cs="Cambria" w:hint="default"/>
      </w:rPr>
    </w:lvl>
  </w:abstractNum>
  <w:abstractNum w:abstractNumId="1" w15:restartNumberingAfterBreak="0">
    <w:nsid w:val="00F67BB3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7CB2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C1413"/>
    <w:multiLevelType w:val="hybridMultilevel"/>
    <w:tmpl w:val="A306BA36"/>
    <w:lvl w:ilvl="0" w:tplc="17C43C28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77DA3"/>
    <w:multiLevelType w:val="hybridMultilevel"/>
    <w:tmpl w:val="468A9EE2"/>
    <w:lvl w:ilvl="0" w:tplc="00620EC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385512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871AD"/>
    <w:multiLevelType w:val="hybridMultilevel"/>
    <w:tmpl w:val="AA249E98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eastAsia="Helvetica" w:hAnsi="Symbol" w:hint="default"/>
      </w:rPr>
    </w:lvl>
    <w:lvl w:ilvl="1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6C94215"/>
    <w:multiLevelType w:val="hybridMultilevel"/>
    <w:tmpl w:val="BE22AABC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E3A1B"/>
    <w:multiLevelType w:val="hybridMultilevel"/>
    <w:tmpl w:val="A306BA36"/>
    <w:lvl w:ilvl="0" w:tplc="17C43C28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C7B27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74661"/>
    <w:multiLevelType w:val="hybridMultilevel"/>
    <w:tmpl w:val="6360F626"/>
    <w:lvl w:ilvl="0" w:tplc="FFFFFFFF">
      <w:start w:val="1"/>
      <w:numFmt w:val="bullet"/>
      <w:lvlText w:val="­"/>
      <w:lvlJc w:val="left"/>
      <w:pPr>
        <w:ind w:left="132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196576AF"/>
    <w:multiLevelType w:val="multilevel"/>
    <w:tmpl w:val="503EAAF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 w15:restartNumberingAfterBreak="0">
    <w:nsid w:val="1C0E6D30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511E34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14BC1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5" w15:restartNumberingAfterBreak="0">
    <w:nsid w:val="21C42202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21F1E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7" w15:restartNumberingAfterBreak="0">
    <w:nsid w:val="24242E29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B287D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9" w15:restartNumberingAfterBreak="0">
    <w:nsid w:val="2DFB22A8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A4D82"/>
    <w:multiLevelType w:val="hybridMultilevel"/>
    <w:tmpl w:val="8E8E61E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C34D9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2" w15:restartNumberingAfterBreak="0">
    <w:nsid w:val="36BF6F49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B064E"/>
    <w:multiLevelType w:val="hybridMultilevel"/>
    <w:tmpl w:val="31005C9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C67936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5" w15:restartNumberingAfterBreak="0">
    <w:nsid w:val="51C81E3D"/>
    <w:multiLevelType w:val="multilevel"/>
    <w:tmpl w:val="1A963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ascii="Garamond" w:hAnsi="Garamond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574069BD"/>
    <w:multiLevelType w:val="hybridMultilevel"/>
    <w:tmpl w:val="4A82C8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8304B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28" w15:restartNumberingAfterBreak="0">
    <w:nsid w:val="590C7A3A"/>
    <w:multiLevelType w:val="multilevel"/>
    <w:tmpl w:val="6C208CB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9" w15:restartNumberingAfterBreak="0">
    <w:nsid w:val="5A70390D"/>
    <w:multiLevelType w:val="hybridMultilevel"/>
    <w:tmpl w:val="2F6CAE7E"/>
    <w:lvl w:ilvl="0" w:tplc="04190017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FE1B06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31" w15:restartNumberingAfterBreak="0">
    <w:nsid w:val="5DDD28FC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32" w15:restartNumberingAfterBreak="0">
    <w:nsid w:val="65203F4C"/>
    <w:multiLevelType w:val="multilevel"/>
    <w:tmpl w:val="5B265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781058D"/>
    <w:multiLevelType w:val="multilevel"/>
    <w:tmpl w:val="326476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 w15:restartNumberingAfterBreak="0">
    <w:nsid w:val="6BC36B19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5235C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36" w15:restartNumberingAfterBreak="0">
    <w:nsid w:val="6D313CF2"/>
    <w:multiLevelType w:val="multilevel"/>
    <w:tmpl w:val="5B265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7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84303"/>
    <w:multiLevelType w:val="hybridMultilevel"/>
    <w:tmpl w:val="16147B5C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703E5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1" w15:restartNumberingAfterBreak="0">
    <w:nsid w:val="7653303A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2" w15:restartNumberingAfterBreak="0">
    <w:nsid w:val="7C120843"/>
    <w:multiLevelType w:val="multilevel"/>
    <w:tmpl w:val="503EAAF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3" w15:restartNumberingAfterBreak="0">
    <w:nsid w:val="7E776C8C"/>
    <w:multiLevelType w:val="multilevel"/>
    <w:tmpl w:val="65EEC7A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4" w15:restartNumberingAfterBreak="0">
    <w:nsid w:val="7E780F35"/>
    <w:multiLevelType w:val="hybridMultilevel"/>
    <w:tmpl w:val="416E8E78"/>
    <w:lvl w:ilvl="0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1"/>
  </w:num>
  <w:num w:numId="3">
    <w:abstractNumId w:val="43"/>
  </w:num>
  <w:num w:numId="4">
    <w:abstractNumId w:val="6"/>
  </w:num>
  <w:num w:numId="5">
    <w:abstractNumId w:val="8"/>
  </w:num>
  <w:num w:numId="6">
    <w:abstractNumId w:val="3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3"/>
  </w:num>
  <w:num w:numId="10">
    <w:abstractNumId w:val="28"/>
  </w:num>
  <w:num w:numId="11">
    <w:abstractNumId w:val="38"/>
  </w:num>
  <w:num w:numId="12">
    <w:abstractNumId w:val="39"/>
  </w:num>
  <w:num w:numId="13">
    <w:abstractNumId w:val="44"/>
  </w:num>
  <w:num w:numId="14">
    <w:abstractNumId w:val="15"/>
  </w:num>
  <w:num w:numId="15">
    <w:abstractNumId w:val="1"/>
  </w:num>
  <w:num w:numId="16">
    <w:abstractNumId w:val="13"/>
  </w:num>
  <w:num w:numId="17">
    <w:abstractNumId w:val="7"/>
  </w:num>
  <w:num w:numId="18">
    <w:abstractNumId w:val="23"/>
  </w:num>
  <w:num w:numId="1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40"/>
  </w:num>
  <w:num w:numId="22">
    <w:abstractNumId w:val="31"/>
  </w:num>
  <w:num w:numId="23">
    <w:abstractNumId w:val="9"/>
  </w:num>
  <w:num w:numId="24">
    <w:abstractNumId w:val="30"/>
  </w:num>
  <w:num w:numId="25">
    <w:abstractNumId w:val="41"/>
  </w:num>
  <w:num w:numId="26">
    <w:abstractNumId w:val="27"/>
  </w:num>
  <w:num w:numId="27">
    <w:abstractNumId w:val="36"/>
  </w:num>
  <w:num w:numId="28">
    <w:abstractNumId w:val="34"/>
  </w:num>
  <w:num w:numId="29">
    <w:abstractNumId w:val="19"/>
  </w:num>
  <w:num w:numId="30">
    <w:abstractNumId w:val="32"/>
  </w:num>
  <w:num w:numId="31">
    <w:abstractNumId w:val="17"/>
  </w:num>
  <w:num w:numId="32">
    <w:abstractNumId w:val="5"/>
  </w:num>
  <w:num w:numId="33">
    <w:abstractNumId w:val="2"/>
  </w:num>
  <w:num w:numId="34">
    <w:abstractNumId w:val="24"/>
  </w:num>
  <w:num w:numId="35">
    <w:abstractNumId w:val="35"/>
  </w:num>
  <w:num w:numId="36">
    <w:abstractNumId w:val="14"/>
  </w:num>
  <w:num w:numId="37">
    <w:abstractNumId w:val="22"/>
  </w:num>
  <w:num w:numId="38">
    <w:abstractNumId w:val="0"/>
  </w:num>
  <w:num w:numId="39">
    <w:abstractNumId w:val="20"/>
  </w:num>
  <w:num w:numId="40">
    <w:abstractNumId w:val="10"/>
  </w:num>
  <w:num w:numId="41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9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C3"/>
    <w:rsid w:val="00000172"/>
    <w:rsid w:val="00001A80"/>
    <w:rsid w:val="00002A02"/>
    <w:rsid w:val="000575A7"/>
    <w:rsid w:val="0006016E"/>
    <w:rsid w:val="00064BC3"/>
    <w:rsid w:val="00083332"/>
    <w:rsid w:val="00085327"/>
    <w:rsid w:val="00085B75"/>
    <w:rsid w:val="000A7B7B"/>
    <w:rsid w:val="000B66F8"/>
    <w:rsid w:val="000B6DC4"/>
    <w:rsid w:val="000C27CD"/>
    <w:rsid w:val="000C55CD"/>
    <w:rsid w:val="000C5CFC"/>
    <w:rsid w:val="000D7DF7"/>
    <w:rsid w:val="000E40EA"/>
    <w:rsid w:val="00121CD4"/>
    <w:rsid w:val="00125C0B"/>
    <w:rsid w:val="00126B1C"/>
    <w:rsid w:val="001539FF"/>
    <w:rsid w:val="001A15C7"/>
    <w:rsid w:val="001A15FC"/>
    <w:rsid w:val="001E2D89"/>
    <w:rsid w:val="001F0427"/>
    <w:rsid w:val="002112E5"/>
    <w:rsid w:val="00213428"/>
    <w:rsid w:val="002235A3"/>
    <w:rsid w:val="00224C14"/>
    <w:rsid w:val="00226AFF"/>
    <w:rsid w:val="00231B54"/>
    <w:rsid w:val="00233E2A"/>
    <w:rsid w:val="00235AB0"/>
    <w:rsid w:val="00236C99"/>
    <w:rsid w:val="00244FF5"/>
    <w:rsid w:val="00247F6D"/>
    <w:rsid w:val="002667F6"/>
    <w:rsid w:val="00291278"/>
    <w:rsid w:val="00291D2F"/>
    <w:rsid w:val="00296912"/>
    <w:rsid w:val="002C117A"/>
    <w:rsid w:val="002C3015"/>
    <w:rsid w:val="002E4A46"/>
    <w:rsid w:val="00304167"/>
    <w:rsid w:val="00313186"/>
    <w:rsid w:val="003352F4"/>
    <w:rsid w:val="0037053A"/>
    <w:rsid w:val="00373E68"/>
    <w:rsid w:val="00381289"/>
    <w:rsid w:val="0038448F"/>
    <w:rsid w:val="00384EBD"/>
    <w:rsid w:val="003942CA"/>
    <w:rsid w:val="00395FE4"/>
    <w:rsid w:val="003B24E7"/>
    <w:rsid w:val="003B5E91"/>
    <w:rsid w:val="003B66DD"/>
    <w:rsid w:val="003D223E"/>
    <w:rsid w:val="003E24FC"/>
    <w:rsid w:val="00404596"/>
    <w:rsid w:val="00405354"/>
    <w:rsid w:val="00405AA2"/>
    <w:rsid w:val="00442EC7"/>
    <w:rsid w:val="0045685A"/>
    <w:rsid w:val="00456E3B"/>
    <w:rsid w:val="00473035"/>
    <w:rsid w:val="00477F15"/>
    <w:rsid w:val="004C1530"/>
    <w:rsid w:val="004D1C93"/>
    <w:rsid w:val="004E0C69"/>
    <w:rsid w:val="004E5728"/>
    <w:rsid w:val="004F5E72"/>
    <w:rsid w:val="004F6628"/>
    <w:rsid w:val="0052600F"/>
    <w:rsid w:val="00553CE5"/>
    <w:rsid w:val="005564EC"/>
    <w:rsid w:val="00571112"/>
    <w:rsid w:val="00586976"/>
    <w:rsid w:val="005B1282"/>
    <w:rsid w:val="005C3F86"/>
    <w:rsid w:val="005C69A8"/>
    <w:rsid w:val="005D63BB"/>
    <w:rsid w:val="005F3224"/>
    <w:rsid w:val="00600505"/>
    <w:rsid w:val="00614575"/>
    <w:rsid w:val="0061686F"/>
    <w:rsid w:val="006353CE"/>
    <w:rsid w:val="00637118"/>
    <w:rsid w:val="00637267"/>
    <w:rsid w:val="006634E0"/>
    <w:rsid w:val="00666E89"/>
    <w:rsid w:val="006B3DBF"/>
    <w:rsid w:val="006B7BAB"/>
    <w:rsid w:val="006C22B3"/>
    <w:rsid w:val="006E72F4"/>
    <w:rsid w:val="006F5666"/>
    <w:rsid w:val="006F62A4"/>
    <w:rsid w:val="00711568"/>
    <w:rsid w:val="0074272A"/>
    <w:rsid w:val="007436DB"/>
    <w:rsid w:val="00756F1E"/>
    <w:rsid w:val="00783ED3"/>
    <w:rsid w:val="007844D4"/>
    <w:rsid w:val="00784842"/>
    <w:rsid w:val="007865B3"/>
    <w:rsid w:val="007871B6"/>
    <w:rsid w:val="00791BE9"/>
    <w:rsid w:val="00796969"/>
    <w:rsid w:val="007C49AD"/>
    <w:rsid w:val="007C7B23"/>
    <w:rsid w:val="007D3B14"/>
    <w:rsid w:val="007D46DC"/>
    <w:rsid w:val="00822483"/>
    <w:rsid w:val="00840F05"/>
    <w:rsid w:val="00845792"/>
    <w:rsid w:val="00864895"/>
    <w:rsid w:val="00870B21"/>
    <w:rsid w:val="0088037E"/>
    <w:rsid w:val="00895380"/>
    <w:rsid w:val="008A71AE"/>
    <w:rsid w:val="008B78DA"/>
    <w:rsid w:val="008C4D78"/>
    <w:rsid w:val="008C6FEC"/>
    <w:rsid w:val="008D4164"/>
    <w:rsid w:val="008E2D3C"/>
    <w:rsid w:val="008E5322"/>
    <w:rsid w:val="008F4F58"/>
    <w:rsid w:val="008F61CA"/>
    <w:rsid w:val="00900728"/>
    <w:rsid w:val="00924BD0"/>
    <w:rsid w:val="0095363C"/>
    <w:rsid w:val="009837AB"/>
    <w:rsid w:val="00996772"/>
    <w:rsid w:val="009B1DE3"/>
    <w:rsid w:val="009C4BF8"/>
    <w:rsid w:val="009C4F34"/>
    <w:rsid w:val="009C6FFE"/>
    <w:rsid w:val="009D50E1"/>
    <w:rsid w:val="009D7DB3"/>
    <w:rsid w:val="009E1542"/>
    <w:rsid w:val="00A00BB1"/>
    <w:rsid w:val="00A15457"/>
    <w:rsid w:val="00A170A6"/>
    <w:rsid w:val="00A17725"/>
    <w:rsid w:val="00A24D95"/>
    <w:rsid w:val="00A262EB"/>
    <w:rsid w:val="00A36C7F"/>
    <w:rsid w:val="00A45F28"/>
    <w:rsid w:val="00A66565"/>
    <w:rsid w:val="00A7115A"/>
    <w:rsid w:val="00A73236"/>
    <w:rsid w:val="00A76F2A"/>
    <w:rsid w:val="00A8401D"/>
    <w:rsid w:val="00A92181"/>
    <w:rsid w:val="00AA4A43"/>
    <w:rsid w:val="00AB4F36"/>
    <w:rsid w:val="00AB72C1"/>
    <w:rsid w:val="00AC0F31"/>
    <w:rsid w:val="00AC124A"/>
    <w:rsid w:val="00AC2302"/>
    <w:rsid w:val="00AE421C"/>
    <w:rsid w:val="00AE5977"/>
    <w:rsid w:val="00AE77B1"/>
    <w:rsid w:val="00B12712"/>
    <w:rsid w:val="00B128B7"/>
    <w:rsid w:val="00B57366"/>
    <w:rsid w:val="00B65E97"/>
    <w:rsid w:val="00BB496A"/>
    <w:rsid w:val="00BB69BC"/>
    <w:rsid w:val="00BC4E07"/>
    <w:rsid w:val="00BD211F"/>
    <w:rsid w:val="00BE1851"/>
    <w:rsid w:val="00C0010D"/>
    <w:rsid w:val="00C14DCB"/>
    <w:rsid w:val="00C467AA"/>
    <w:rsid w:val="00C474F7"/>
    <w:rsid w:val="00C5515E"/>
    <w:rsid w:val="00C64E9B"/>
    <w:rsid w:val="00C66C46"/>
    <w:rsid w:val="00C70789"/>
    <w:rsid w:val="00C7627C"/>
    <w:rsid w:val="00C85117"/>
    <w:rsid w:val="00C94EC0"/>
    <w:rsid w:val="00CA400E"/>
    <w:rsid w:val="00CB1428"/>
    <w:rsid w:val="00CB1BA5"/>
    <w:rsid w:val="00CB37D2"/>
    <w:rsid w:val="00CE6595"/>
    <w:rsid w:val="00D14A5D"/>
    <w:rsid w:val="00D3034F"/>
    <w:rsid w:val="00D32A1F"/>
    <w:rsid w:val="00D603F5"/>
    <w:rsid w:val="00D7765E"/>
    <w:rsid w:val="00D83EA2"/>
    <w:rsid w:val="00D86602"/>
    <w:rsid w:val="00D86D6F"/>
    <w:rsid w:val="00DA47F0"/>
    <w:rsid w:val="00DA62B3"/>
    <w:rsid w:val="00DB3E97"/>
    <w:rsid w:val="00DB4896"/>
    <w:rsid w:val="00DD5E94"/>
    <w:rsid w:val="00DE15B2"/>
    <w:rsid w:val="00DE1888"/>
    <w:rsid w:val="00DF4B67"/>
    <w:rsid w:val="00DF4C03"/>
    <w:rsid w:val="00E00B1F"/>
    <w:rsid w:val="00E07E13"/>
    <w:rsid w:val="00E264A6"/>
    <w:rsid w:val="00E375E8"/>
    <w:rsid w:val="00E40182"/>
    <w:rsid w:val="00E40929"/>
    <w:rsid w:val="00E54800"/>
    <w:rsid w:val="00E56394"/>
    <w:rsid w:val="00E7007E"/>
    <w:rsid w:val="00E83972"/>
    <w:rsid w:val="00E84AD5"/>
    <w:rsid w:val="00E85452"/>
    <w:rsid w:val="00EB37A3"/>
    <w:rsid w:val="00EB4132"/>
    <w:rsid w:val="00EB5266"/>
    <w:rsid w:val="00EB6372"/>
    <w:rsid w:val="00EC026A"/>
    <w:rsid w:val="00EC1B8F"/>
    <w:rsid w:val="00ED2418"/>
    <w:rsid w:val="00EE6274"/>
    <w:rsid w:val="00F07981"/>
    <w:rsid w:val="00F07D6E"/>
    <w:rsid w:val="00F251EA"/>
    <w:rsid w:val="00F578FB"/>
    <w:rsid w:val="00F62BB3"/>
    <w:rsid w:val="00F71F60"/>
    <w:rsid w:val="00F839C3"/>
    <w:rsid w:val="00F856AD"/>
    <w:rsid w:val="00F875EF"/>
    <w:rsid w:val="00FC1834"/>
    <w:rsid w:val="00FC3A49"/>
    <w:rsid w:val="00FC5223"/>
    <w:rsid w:val="00FC64C9"/>
    <w:rsid w:val="00FD0B16"/>
    <w:rsid w:val="00FF52A8"/>
    <w:rsid w:val="00F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2C28"/>
  <w15:chartTrackingRefBased/>
  <w15:docId w15:val="{FC33D1F6-5B28-41D9-9C4D-A2619B86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9A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uiPriority w:val="99"/>
    <w:qFormat/>
    <w:rsid w:val="00A8401D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right"/>
      <w:outlineLvl w:val="1"/>
    </w:pPr>
    <w:rPr>
      <w:rFonts w:ascii="Cambria Math" w:eastAsia="Cambria" w:hAnsi="Cambria Math" w:cs="Cambria Math"/>
      <w:b/>
      <w:bCs/>
      <w:lang w:eastAsia="ru-RU"/>
    </w:rPr>
  </w:style>
  <w:style w:type="paragraph" w:styleId="3">
    <w:name w:val="heading 3"/>
    <w:aliases w:val="H3,Заголовок подпукта (1.1.1),Level 1 - 1,o"/>
    <w:basedOn w:val="a"/>
    <w:link w:val="30"/>
    <w:autoRedefine/>
    <w:uiPriority w:val="9"/>
    <w:qFormat/>
    <w:rsid w:val="00405AA2"/>
    <w:pPr>
      <w:keepNext/>
      <w:keepLines/>
      <w:spacing w:before="120" w:after="120" w:line="240" w:lineRule="auto"/>
      <w:jc w:val="both"/>
      <w:outlineLvl w:val="2"/>
    </w:pPr>
    <w:rPr>
      <w:rFonts w:ascii="Garamond" w:eastAsia="Times New Roman" w:hAnsi="Garamond"/>
      <w:color w:val="000000"/>
    </w:rPr>
  </w:style>
  <w:style w:type="paragraph" w:styleId="4">
    <w:name w:val="heading 4"/>
    <w:aliases w:val="H4,H41,Sub-Minor,Level 2 - a"/>
    <w:basedOn w:val="a"/>
    <w:next w:val="a"/>
    <w:link w:val="40"/>
    <w:uiPriority w:val="9"/>
    <w:qFormat/>
    <w:rsid w:val="00A8401D"/>
    <w:pPr>
      <w:keepNext/>
      <w:tabs>
        <w:tab w:val="num" w:pos="180"/>
      </w:tabs>
      <w:suppressAutoHyphens/>
      <w:spacing w:after="0" w:line="360" w:lineRule="auto"/>
      <w:ind w:left="180" w:hanging="34"/>
      <w:jc w:val="right"/>
      <w:outlineLvl w:val="3"/>
    </w:pPr>
    <w:rPr>
      <w:rFonts w:ascii="Arial Unicode MS" w:eastAsia="Cambria" w:hAnsi="Arial Unicode MS" w:cs="Cambria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65B3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6">
    <w:name w:val="heading 6"/>
    <w:aliases w:val="Legal Level 1."/>
    <w:basedOn w:val="a"/>
    <w:next w:val="a"/>
    <w:link w:val="60"/>
    <w:uiPriority w:val="9"/>
    <w:qFormat/>
    <w:rsid w:val="00A8401D"/>
    <w:pPr>
      <w:tabs>
        <w:tab w:val="num" w:pos="0"/>
      </w:tabs>
      <w:suppressAutoHyphens/>
      <w:spacing w:before="240" w:after="60" w:line="240" w:lineRule="auto"/>
      <w:outlineLvl w:val="5"/>
    </w:pPr>
    <w:rPr>
      <w:rFonts w:eastAsia="Cambria" w:cs="Cambria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qFormat/>
    <w:rsid w:val="00E5480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54800"/>
    <w:rPr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E54800"/>
    <w:rPr>
      <w:rFonts w:ascii="Calibri" w:eastAsia="Calibri" w:hAnsi="Calibri" w:cs="Times New Roman"/>
      <w:sz w:val="20"/>
      <w:szCs w:val="20"/>
      <w:lang w:val="x-none"/>
    </w:rPr>
  </w:style>
  <w:style w:type="table" w:customStyle="1" w:styleId="11">
    <w:name w:val="Сетка таблицы11"/>
    <w:basedOn w:val="a1"/>
    <w:next w:val="a6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54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4800"/>
    <w:rPr>
      <w:rFonts w:ascii="Segoe UI" w:eastAsia="Calibri" w:hAnsi="Segoe UI" w:cs="Segoe UI"/>
      <w:sz w:val="18"/>
      <w:szCs w:val="18"/>
    </w:rPr>
  </w:style>
  <w:style w:type="table" w:customStyle="1" w:styleId="131">
    <w:name w:val="Сетка таблицы131"/>
    <w:basedOn w:val="a1"/>
    <w:next w:val="a6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annotation subject"/>
    <w:basedOn w:val="a4"/>
    <w:next w:val="a4"/>
    <w:link w:val="aa"/>
    <w:uiPriority w:val="99"/>
    <w:semiHidden/>
    <w:unhideWhenUsed/>
    <w:rsid w:val="004C1530"/>
    <w:pPr>
      <w:spacing w:line="240" w:lineRule="auto"/>
    </w:pPr>
    <w:rPr>
      <w:b/>
      <w:bCs/>
      <w:lang w:val="ru-RU"/>
    </w:rPr>
  </w:style>
  <w:style w:type="character" w:customStyle="1" w:styleId="aa">
    <w:name w:val="Тема примечания Знак"/>
    <w:basedOn w:val="a5"/>
    <w:link w:val="a9"/>
    <w:uiPriority w:val="99"/>
    <w:semiHidden/>
    <w:rsid w:val="004C1530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b">
    <w:name w:val="header"/>
    <w:basedOn w:val="a"/>
    <w:link w:val="ac"/>
    <w:uiPriority w:val="99"/>
    <w:unhideWhenUsed/>
    <w:rsid w:val="00DE1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15B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E1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15B2"/>
    <w:rPr>
      <w:rFonts w:ascii="Calibri" w:eastAsia="Calibri" w:hAnsi="Calibri" w:cs="Times New Roman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uiPriority w:val="9"/>
    <w:rsid w:val="00405AA2"/>
    <w:rPr>
      <w:rFonts w:ascii="Garamond" w:eastAsia="Times New Roman" w:hAnsi="Garamond" w:cs="Times New Roman"/>
      <w:color w:val="000000"/>
    </w:rPr>
  </w:style>
  <w:style w:type="paragraph" w:styleId="af">
    <w:name w:val="Body Text"/>
    <w:aliases w:val="body text"/>
    <w:basedOn w:val="a"/>
    <w:link w:val="1"/>
    <w:rsid w:val="00405AA2"/>
    <w:pPr>
      <w:spacing w:before="120" w:after="120" w:line="240" w:lineRule="auto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0">
    <w:name w:val="Основной текст Знак"/>
    <w:basedOn w:val="a0"/>
    <w:uiPriority w:val="99"/>
    <w:semiHidden/>
    <w:rsid w:val="00405AA2"/>
    <w:rPr>
      <w:rFonts w:ascii="Calibri" w:eastAsia="Calibri" w:hAnsi="Calibri" w:cs="Times New Roman"/>
    </w:rPr>
  </w:style>
  <w:style w:type="character" w:customStyle="1" w:styleId="1">
    <w:name w:val="Основной текст Знак1"/>
    <w:aliases w:val="body text Знак"/>
    <w:link w:val="af"/>
    <w:rsid w:val="00405AA2"/>
    <w:rPr>
      <w:rFonts w:ascii="Times New Roman" w:eastAsia="Times New Roman" w:hAnsi="Times New Roman" w:cs="Times New Roman"/>
      <w:szCs w:val="20"/>
      <w:lang w:val="en-GB"/>
    </w:rPr>
  </w:style>
  <w:style w:type="paragraph" w:styleId="af1">
    <w:name w:val="Body Text Indent"/>
    <w:basedOn w:val="a"/>
    <w:link w:val="af2"/>
    <w:uiPriority w:val="99"/>
    <w:unhideWhenUsed/>
    <w:rsid w:val="00405AA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405AA2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405A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AA2"/>
    <w:rPr>
      <w:rFonts w:ascii="Calibri" w:eastAsia="Calibri" w:hAnsi="Calibri" w:cs="Times New Roman"/>
    </w:rPr>
  </w:style>
  <w:style w:type="paragraph" w:customStyle="1" w:styleId="subsubclauseindent">
    <w:name w:val="subsubclauseindent"/>
    <w:basedOn w:val="a"/>
    <w:rsid w:val="00405A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bodytext">
    <w:name w:val="body text Знак Знак"/>
    <w:uiPriority w:val="99"/>
    <w:rsid w:val="00405AA2"/>
    <w:rPr>
      <w:sz w:val="22"/>
      <w:lang w:val="en-GB" w:eastAsia="en-US" w:bidi="ar-SA"/>
    </w:rPr>
  </w:style>
  <w:style w:type="paragraph" w:customStyle="1" w:styleId="af3">
    <w:name w:val="мое"/>
    <w:basedOn w:val="af"/>
    <w:link w:val="af4"/>
    <w:qFormat/>
    <w:rsid w:val="00405AA2"/>
    <w:pPr>
      <w:ind w:firstLine="567"/>
    </w:pPr>
    <w:rPr>
      <w:rFonts w:ascii="Garamond" w:hAnsi="Garamond"/>
      <w:szCs w:val="22"/>
    </w:rPr>
  </w:style>
  <w:style w:type="character" w:customStyle="1" w:styleId="af4">
    <w:name w:val="мое Знак"/>
    <w:basedOn w:val="a0"/>
    <w:link w:val="af3"/>
    <w:rsid w:val="00405AA2"/>
    <w:rPr>
      <w:rFonts w:ascii="Garamond" w:eastAsia="Times New Roman" w:hAnsi="Garamond" w:cs="Times New Roman"/>
      <w:lang w:val="en-GB"/>
    </w:rPr>
  </w:style>
  <w:style w:type="paragraph" w:styleId="af5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f6"/>
    <w:uiPriority w:val="34"/>
    <w:qFormat/>
    <w:rsid w:val="00001A80"/>
    <w:pPr>
      <w:ind w:left="720"/>
      <w:contextualSpacing/>
    </w:pPr>
  </w:style>
  <w:style w:type="character" w:styleId="af7">
    <w:name w:val="Hyperlink"/>
    <w:uiPriority w:val="99"/>
    <w:unhideWhenUsed/>
    <w:rsid w:val="009C4F34"/>
    <w:rPr>
      <w:color w:val="0000FF"/>
      <w:u w:val="single"/>
    </w:rPr>
  </w:style>
  <w:style w:type="character" w:customStyle="1" w:styleId="af6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5"/>
    <w:uiPriority w:val="99"/>
    <w:qFormat/>
    <w:rsid w:val="00A45F28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7865B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39"/>
    <w:rsid w:val="0089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nhideWhenUsed/>
    <w:rsid w:val="00A36C7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36C7F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uiPriority w:val="99"/>
    <w:rsid w:val="00A8401D"/>
    <w:rPr>
      <w:rFonts w:ascii="Cambria Math" w:eastAsia="Cambria" w:hAnsi="Cambria Math" w:cs="Cambria Math"/>
      <w:b/>
      <w:bCs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"/>
    <w:rsid w:val="00A8401D"/>
    <w:rPr>
      <w:rFonts w:ascii="Arial Unicode MS" w:eastAsia="Cambria" w:hAnsi="Arial Unicode MS" w:cs="Cambria"/>
      <w:b/>
      <w:sz w:val="20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uiPriority w:val="9"/>
    <w:rsid w:val="00A8401D"/>
    <w:rPr>
      <w:rFonts w:ascii="Calibri" w:eastAsia="Cambria" w:hAnsi="Calibri" w:cs="Cambria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8401D"/>
  </w:style>
  <w:style w:type="table" w:customStyle="1" w:styleId="23">
    <w:name w:val="Сетка таблицы2"/>
    <w:basedOn w:val="a1"/>
    <w:next w:val="a6"/>
    <w:uiPriority w:val="39"/>
    <w:rsid w:val="00A8401D"/>
    <w:pPr>
      <w:spacing w:after="0" w:line="240" w:lineRule="auto"/>
      <w:ind w:firstLine="357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39"/>
    <w:rsid w:val="00A8401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ДОП бн Основной"/>
    <w:basedOn w:val="a"/>
    <w:qFormat/>
    <w:rsid w:val="00A8401D"/>
    <w:pPr>
      <w:widowControl w:val="0"/>
      <w:tabs>
        <w:tab w:val="left" w:pos="1077"/>
      </w:tabs>
      <w:spacing w:before="120" w:after="120" w:line="240" w:lineRule="auto"/>
      <w:ind w:firstLine="601"/>
      <w:jc w:val="both"/>
    </w:pPr>
    <w:rPr>
      <w:rFonts w:ascii="Garamond" w:hAnsi="Garamond"/>
      <w:bCs/>
    </w:rPr>
  </w:style>
  <w:style w:type="paragraph" w:styleId="af9">
    <w:name w:val="Revision"/>
    <w:hidden/>
    <w:uiPriority w:val="99"/>
    <w:semiHidden/>
    <w:rsid w:val="00FC64C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rsid w:val="00C14D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page number"/>
    <w:rsid w:val="00C14DC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1F5A3-4021-4396-A426-BBA82B296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14</Pages>
  <Words>5012</Words>
  <Characters>28569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33514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Саттаров Илья Олегович</dc:creator>
  <cp:keywords/>
  <dc:description/>
  <cp:lastModifiedBy>Гирина Марина Владимировна</cp:lastModifiedBy>
  <cp:revision>51</cp:revision>
  <dcterms:created xsi:type="dcterms:W3CDTF">2024-04-09T18:07:00Z</dcterms:created>
  <dcterms:modified xsi:type="dcterms:W3CDTF">2024-04-23T06:29:00Z</dcterms:modified>
</cp:coreProperties>
</file>