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F6D" w:rsidRDefault="00FC0F6D" w:rsidP="00FC0F6D">
      <w:pPr>
        <w:spacing w:line="252" w:lineRule="auto"/>
        <w:ind w:left="57"/>
        <w:contextualSpacing/>
        <w:jc w:val="right"/>
        <w:rPr>
          <w:rFonts w:eastAsia="Calibri"/>
        </w:rPr>
      </w:pPr>
      <w:r>
        <w:rPr>
          <w:rFonts w:eastAsia="Calibri"/>
          <w:caps/>
        </w:rPr>
        <w:t>Приложение</w:t>
      </w:r>
      <w:r>
        <w:rPr>
          <w:rFonts w:eastAsia="Calibri"/>
        </w:rPr>
        <w:t xml:space="preserve"> № </w:t>
      </w:r>
      <w:r w:rsidR="00C42E84">
        <w:rPr>
          <w:rFonts w:eastAsia="Calibri"/>
          <w:lang w:val="en-US"/>
        </w:rPr>
        <w:t>1.</w:t>
      </w:r>
      <w:r>
        <w:rPr>
          <w:rFonts w:eastAsia="Calibri"/>
        </w:rPr>
        <w:t>4</w:t>
      </w:r>
    </w:p>
    <w:p w:rsidR="00FC0F6D" w:rsidRDefault="00FC0F6D" w:rsidP="00FC0F6D">
      <w:pPr>
        <w:spacing w:line="252" w:lineRule="auto"/>
        <w:ind w:left="57"/>
        <w:contextualSpacing/>
        <w:jc w:val="right"/>
        <w:rPr>
          <w:rFonts w:eastAsia="Calibri"/>
        </w:rPr>
      </w:pPr>
      <w:r>
        <w:rPr>
          <w:rFonts w:eastAsia="Calibri"/>
        </w:rPr>
        <w:t xml:space="preserve">к Протоколу № 20/2020 заседания Наблюдательного совета </w:t>
      </w:r>
    </w:p>
    <w:p w:rsidR="00FC0F6D" w:rsidRPr="00FC0F6D" w:rsidRDefault="00FC0F6D" w:rsidP="00FC0F6D">
      <w:pPr>
        <w:widowControl w:val="0"/>
        <w:jc w:val="right"/>
        <w:rPr>
          <w:rFonts w:ascii="Garamond" w:hAnsi="Garamond"/>
          <w:b/>
          <w:sz w:val="28"/>
          <w:szCs w:val="28"/>
        </w:rPr>
      </w:pPr>
      <w:r>
        <w:rPr>
          <w:rFonts w:eastAsia="Calibri"/>
        </w:rPr>
        <w:t>Ассоциации «НП Совет рынка» от 21 августа 2020 года.</w:t>
      </w:r>
    </w:p>
    <w:p w:rsidR="00FC0F6D" w:rsidRPr="00FC0F6D" w:rsidRDefault="00FC0F6D" w:rsidP="001E1FD4">
      <w:pPr>
        <w:widowControl w:val="0"/>
        <w:rPr>
          <w:rFonts w:ascii="Garamond" w:hAnsi="Garamond"/>
          <w:b/>
          <w:sz w:val="28"/>
          <w:szCs w:val="28"/>
        </w:rPr>
      </w:pPr>
    </w:p>
    <w:p w:rsidR="00DD6F95" w:rsidRPr="002B5432" w:rsidRDefault="00CB1759" w:rsidP="001E1FD4">
      <w:pPr>
        <w:widowControl w:val="0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</w:t>
      </w:r>
      <w:r w:rsidRPr="00CB1759">
        <w:rPr>
          <w:rFonts w:ascii="Garamond" w:hAnsi="Garamond"/>
          <w:b/>
          <w:sz w:val="28"/>
          <w:szCs w:val="28"/>
        </w:rPr>
        <w:t>.3.</w:t>
      </w:r>
      <w:r w:rsidR="00900ACE" w:rsidRPr="00900ACE">
        <w:rPr>
          <w:rFonts w:ascii="Garamond" w:hAnsi="Garamond"/>
          <w:b/>
          <w:sz w:val="28"/>
          <w:szCs w:val="28"/>
        </w:rPr>
        <w:t xml:space="preserve"> </w:t>
      </w:r>
      <w:r w:rsidR="00DD6F95" w:rsidRPr="00A82A7B">
        <w:rPr>
          <w:rFonts w:ascii="Garamond" w:hAnsi="Garamond"/>
          <w:b/>
          <w:sz w:val="28"/>
          <w:szCs w:val="28"/>
        </w:rPr>
        <w:t>Изменения, связанные с</w:t>
      </w:r>
      <w:r w:rsidR="00DD6F95">
        <w:rPr>
          <w:rFonts w:ascii="Garamond" w:hAnsi="Garamond"/>
          <w:b/>
          <w:sz w:val="28"/>
          <w:szCs w:val="28"/>
        </w:rPr>
        <w:t xml:space="preserve"> </w:t>
      </w:r>
      <w:r w:rsidR="00DD6F95">
        <w:rPr>
          <w:rFonts w:ascii="Garamond" w:hAnsi="Garamond" w:cs="Arial"/>
          <w:b/>
          <w:sz w:val="28"/>
          <w:szCs w:val="28"/>
        </w:rPr>
        <w:t>публикацией данных о стоимостном небалансе БР</w:t>
      </w:r>
    </w:p>
    <w:p w:rsidR="00DD6F95" w:rsidRPr="008A6EA6" w:rsidRDefault="00DD6F95" w:rsidP="001E1FD4">
      <w:pPr>
        <w:widowControl w:val="0"/>
        <w:rPr>
          <w:rFonts w:ascii="Garamond" w:hAnsi="Garamond"/>
          <w:sz w:val="28"/>
          <w:szCs w:val="28"/>
        </w:rPr>
      </w:pPr>
      <w:r>
        <w:rPr>
          <w:rFonts w:ascii="Garamond" w:hAnsi="Garamond"/>
        </w:rPr>
        <w:t xml:space="preserve"> </w:t>
      </w:r>
    </w:p>
    <w:p w:rsidR="00DD6F95" w:rsidRPr="00FC0F6D" w:rsidRDefault="00DD6F95" w:rsidP="001E1FD4">
      <w:pPr>
        <w:widowControl w:val="0"/>
        <w:jc w:val="right"/>
        <w:rPr>
          <w:rFonts w:ascii="Garamond" w:hAnsi="Garamond"/>
          <w:b/>
          <w:sz w:val="28"/>
          <w:szCs w:val="28"/>
        </w:rPr>
      </w:pPr>
      <w:r w:rsidRPr="00A82A7B">
        <w:rPr>
          <w:rFonts w:ascii="Garamond" w:hAnsi="Garamond"/>
          <w:b/>
          <w:sz w:val="28"/>
          <w:szCs w:val="28"/>
        </w:rPr>
        <w:t>Приложение №</w:t>
      </w:r>
      <w:r w:rsidR="00CB1759" w:rsidRPr="00FC0F6D">
        <w:rPr>
          <w:rFonts w:ascii="Garamond" w:hAnsi="Garamond"/>
          <w:b/>
          <w:sz w:val="28"/>
          <w:szCs w:val="28"/>
        </w:rPr>
        <w:t xml:space="preserve"> </w:t>
      </w:r>
      <w:r w:rsidR="00C42E84">
        <w:rPr>
          <w:rFonts w:ascii="Garamond" w:hAnsi="Garamond"/>
          <w:b/>
          <w:sz w:val="28"/>
          <w:szCs w:val="28"/>
          <w:lang w:val="en-US"/>
        </w:rPr>
        <w:t>1.</w:t>
      </w:r>
      <w:bookmarkStart w:id="0" w:name="_GoBack"/>
      <w:bookmarkEnd w:id="0"/>
      <w:r w:rsidR="00FC0F6D" w:rsidRPr="00FC0F6D">
        <w:rPr>
          <w:rFonts w:ascii="Garamond" w:hAnsi="Garamond"/>
          <w:b/>
          <w:sz w:val="28"/>
          <w:szCs w:val="28"/>
        </w:rPr>
        <w:t>4</w:t>
      </w:r>
    </w:p>
    <w:p w:rsidR="00DD6F95" w:rsidRPr="00A82A7B" w:rsidRDefault="00DD6F95" w:rsidP="001E1FD4">
      <w:pPr>
        <w:widowControl w:val="0"/>
        <w:jc w:val="right"/>
        <w:rPr>
          <w:rFonts w:ascii="Garamond" w:hAnsi="Garamond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0"/>
      </w:tblGrid>
      <w:tr w:rsidR="00DD6F95" w:rsidRPr="002B5432" w:rsidTr="009D41CE">
        <w:trPr>
          <w:trHeight w:val="928"/>
        </w:trPr>
        <w:tc>
          <w:tcPr>
            <w:tcW w:w="14688" w:type="dxa"/>
          </w:tcPr>
          <w:p w:rsidR="00DD6F95" w:rsidRPr="002B5432" w:rsidRDefault="00DD6F95" w:rsidP="001E1FD4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b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 xml:space="preserve">Инициатор: </w:t>
            </w:r>
            <w:r w:rsidRPr="007C7F6F">
              <w:rPr>
                <w:rFonts w:ascii="Garamond" w:hAnsi="Garamond"/>
                <w:szCs w:val="20"/>
              </w:rPr>
              <w:t>Ассоциация «НП Совет рынка»</w:t>
            </w:r>
            <w:r w:rsidR="001E1FD4">
              <w:rPr>
                <w:rFonts w:ascii="Garamond" w:hAnsi="Garamond"/>
                <w:szCs w:val="20"/>
              </w:rPr>
              <w:t>.</w:t>
            </w:r>
          </w:p>
          <w:p w:rsidR="00421863" w:rsidRDefault="00DD6F95" w:rsidP="001E1FD4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2B5432">
              <w:rPr>
                <w:rFonts w:ascii="Garamond" w:hAnsi="Garamond"/>
                <w:b/>
                <w:szCs w:val="20"/>
              </w:rPr>
              <w:t xml:space="preserve">Обоснование: </w:t>
            </w:r>
            <w:r w:rsidR="001E1FD4">
              <w:rPr>
                <w:rFonts w:ascii="Garamond" w:hAnsi="Garamond"/>
              </w:rPr>
              <w:t>с</w:t>
            </w:r>
            <w:r w:rsidR="00421863" w:rsidRPr="00421863">
              <w:rPr>
                <w:rFonts w:ascii="Garamond" w:hAnsi="Garamond"/>
              </w:rPr>
              <w:t>огласно действующему порядку, информация о распределении стоимостного небаланса балансирующего рынка за расчетный период публикуется на сайте АТС. Данный порядок не формализован в регламентах оптового рынка</w:t>
            </w:r>
            <w:r w:rsidR="000817A4">
              <w:rPr>
                <w:rFonts w:ascii="Garamond" w:hAnsi="Garamond"/>
              </w:rPr>
              <w:t>,</w:t>
            </w:r>
            <w:r w:rsidR="00421863" w:rsidRPr="00421863">
              <w:rPr>
                <w:rFonts w:ascii="Garamond" w:hAnsi="Garamond"/>
              </w:rPr>
              <w:t xml:space="preserve"> и в перечне публикуемой информации отсутствует суммарная величина отклонений по собственной инициативе по всем ГТП потребления и ГТП экспорта в данной ценовой зоне, используемая при распределении небаланса.</w:t>
            </w:r>
          </w:p>
          <w:p w:rsidR="00DD6F95" w:rsidRPr="00CB1759" w:rsidRDefault="00DD6F95" w:rsidP="0012632F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Cs w:val="20"/>
              </w:rPr>
              <w:t>Д</w:t>
            </w:r>
            <w:r w:rsidRPr="002B5432">
              <w:rPr>
                <w:rFonts w:ascii="Garamond" w:hAnsi="Garamond"/>
                <w:b/>
                <w:szCs w:val="20"/>
              </w:rPr>
              <w:t xml:space="preserve">ата вступления в силу: </w:t>
            </w:r>
            <w:r w:rsidRPr="007C7F6F">
              <w:rPr>
                <w:rFonts w:ascii="Garamond" w:hAnsi="Garamond"/>
                <w:szCs w:val="20"/>
              </w:rPr>
              <w:t xml:space="preserve">1 </w:t>
            </w:r>
            <w:r w:rsidR="0012632F">
              <w:rPr>
                <w:rFonts w:ascii="Garamond" w:hAnsi="Garamond"/>
                <w:szCs w:val="20"/>
              </w:rPr>
              <w:t>октября</w:t>
            </w:r>
            <w:r w:rsidRPr="007C7F6F">
              <w:rPr>
                <w:rFonts w:ascii="Garamond" w:hAnsi="Garamond"/>
                <w:szCs w:val="20"/>
              </w:rPr>
              <w:t xml:space="preserve"> 2020 года</w:t>
            </w:r>
            <w:r w:rsidR="00CB1759" w:rsidRPr="00CB1759">
              <w:rPr>
                <w:rFonts w:ascii="Garamond" w:hAnsi="Garamond"/>
                <w:szCs w:val="20"/>
              </w:rPr>
              <w:t>.</w:t>
            </w:r>
          </w:p>
        </w:tc>
      </w:tr>
    </w:tbl>
    <w:p w:rsidR="00DD6F95" w:rsidRDefault="00DD6F95" w:rsidP="001E1FD4">
      <w:pPr>
        <w:widowControl w:val="0"/>
        <w:rPr>
          <w:rFonts w:ascii="Garamond" w:hAnsi="Garamond"/>
          <w:b/>
          <w:sz w:val="28"/>
          <w:szCs w:val="28"/>
        </w:rPr>
      </w:pPr>
    </w:p>
    <w:p w:rsidR="00DD6F95" w:rsidRPr="002B5432" w:rsidRDefault="00DD6F95" w:rsidP="001E1FD4">
      <w:pPr>
        <w:pStyle w:val="20"/>
        <w:keepNext w:val="0"/>
        <w:widowControl w:val="0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Предложения по изменениям </w:t>
      </w:r>
      <w:r w:rsidRPr="002B5432">
        <w:rPr>
          <w:rFonts w:ascii="Garamond" w:hAnsi="Garamond"/>
          <w:sz w:val="26"/>
          <w:szCs w:val="26"/>
        </w:rPr>
        <w:t xml:space="preserve">и дополнениям в РЕГЛАМЕНТ </w:t>
      </w:r>
      <w:r>
        <w:rPr>
          <w:rFonts w:ascii="Garamond" w:hAnsi="Garamond"/>
          <w:sz w:val="26"/>
          <w:szCs w:val="26"/>
        </w:rPr>
        <w:t>ПРОВЕДЕНИЯ КОНКУРЕНТНОГО ОТБОРА ЦЕНОВЫХ ЗАЯВОК ДЛЯ БАЛАНСИРОВАНИЯ СИСТЕМЫ</w:t>
      </w:r>
      <w:r w:rsidRPr="002B5432">
        <w:rPr>
          <w:rFonts w:ascii="Garamond" w:hAnsi="Garamond"/>
          <w:sz w:val="26"/>
          <w:szCs w:val="26"/>
        </w:rPr>
        <w:t xml:space="preserve"> (Приложение № </w:t>
      </w:r>
      <w:r>
        <w:rPr>
          <w:rFonts w:ascii="Garamond" w:hAnsi="Garamond"/>
          <w:sz w:val="26"/>
          <w:szCs w:val="26"/>
        </w:rPr>
        <w:t>10</w:t>
      </w:r>
      <w:r w:rsidRPr="002B5432">
        <w:rPr>
          <w:rFonts w:ascii="Garamond" w:hAnsi="Garamond"/>
          <w:sz w:val="26"/>
          <w:szCs w:val="26"/>
        </w:rPr>
        <w:t xml:space="preserve"> к Договору о присоединении к торговой системе оптового рынка)</w:t>
      </w:r>
    </w:p>
    <w:p w:rsidR="00DD6F95" w:rsidRPr="002B5432" w:rsidRDefault="00DD6F95" w:rsidP="001E1FD4">
      <w:pPr>
        <w:widowControl w:val="0"/>
        <w:rPr>
          <w:rFonts w:ascii="Garamond" w:hAnsi="Garamond"/>
        </w:rPr>
      </w:pPr>
    </w:p>
    <w:tbl>
      <w:tblPr>
        <w:tblW w:w="150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"/>
        <w:gridCol w:w="6945"/>
        <w:gridCol w:w="7020"/>
      </w:tblGrid>
      <w:tr w:rsidR="00DD6F95" w:rsidRPr="002B5432" w:rsidTr="001E1FD4">
        <w:tc>
          <w:tcPr>
            <w:tcW w:w="1060" w:type="dxa"/>
            <w:vAlign w:val="center"/>
          </w:tcPr>
          <w:p w:rsidR="00DD6F95" w:rsidRDefault="00DD6F95" w:rsidP="001E1FD4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№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:rsidR="00DD6F95" w:rsidRPr="002B5432" w:rsidRDefault="00DD6F95" w:rsidP="001E1FD4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945" w:type="dxa"/>
          </w:tcPr>
          <w:p w:rsidR="00DD6F95" w:rsidRPr="008C14FB" w:rsidRDefault="00DD6F95" w:rsidP="001E1FD4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8C14FB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DD6F95" w:rsidRPr="002B5432" w:rsidRDefault="00DD6F95" w:rsidP="001E1FD4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C14FB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20" w:type="dxa"/>
          </w:tcPr>
          <w:p w:rsidR="00DD6F95" w:rsidRPr="002B5432" w:rsidRDefault="00DD6F95" w:rsidP="001E1FD4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:rsidR="00DD6F95" w:rsidRPr="002B5432" w:rsidRDefault="00DD6F95" w:rsidP="001E1FD4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2B5432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DD6F95" w:rsidRPr="002B5432" w:rsidTr="001E1FD4">
        <w:trPr>
          <w:trHeight w:val="1501"/>
        </w:trPr>
        <w:tc>
          <w:tcPr>
            <w:tcW w:w="1060" w:type="dxa"/>
          </w:tcPr>
          <w:p w:rsidR="00DD6F95" w:rsidRPr="005C6838" w:rsidRDefault="00DD6F95" w:rsidP="000817A4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5C6838">
              <w:rPr>
                <w:rFonts w:ascii="Garamond" w:hAnsi="Garamond"/>
                <w:b/>
                <w:sz w:val="22"/>
                <w:szCs w:val="22"/>
              </w:rPr>
              <w:t>7.1</w:t>
            </w:r>
          </w:p>
        </w:tc>
        <w:tc>
          <w:tcPr>
            <w:tcW w:w="6945" w:type="dxa"/>
          </w:tcPr>
          <w:p w:rsidR="00DD6F95" w:rsidRDefault="00DD6F95" w:rsidP="000817A4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260"/>
                <w:tab w:val="left" w:pos="0"/>
                <w:tab w:val="left" w:pos="4477"/>
              </w:tabs>
              <w:spacing w:after="120"/>
              <w:ind w:left="643" w:hanging="360"/>
              <w:rPr>
                <w:szCs w:val="22"/>
              </w:rPr>
            </w:pPr>
            <w:r w:rsidRPr="002B5432">
              <w:rPr>
                <w:szCs w:val="22"/>
              </w:rPr>
              <w:t>…</w:t>
            </w:r>
          </w:p>
          <w:p w:rsidR="00DD6F95" w:rsidRPr="00E8163B" w:rsidRDefault="00DD6F95" w:rsidP="000817A4">
            <w:pPr>
              <w:pStyle w:val="subclauseindent"/>
              <w:numPr>
                <w:ilvl w:val="0"/>
                <w:numId w:val="2"/>
              </w:numPr>
              <w:rPr>
                <w:rFonts w:ascii="Garamond" w:hAnsi="Garamond"/>
                <w:b/>
              </w:rPr>
            </w:pPr>
            <w:r w:rsidRPr="00E8163B">
              <w:rPr>
                <w:rFonts w:ascii="Garamond" w:hAnsi="Garamond"/>
              </w:rPr>
              <w:t xml:space="preserve">отчет о величинах </w:t>
            </w:r>
            <w:r w:rsidRPr="00DD6F95">
              <w:rPr>
                <w:rFonts w:ascii="Garamond" w:hAnsi="Garamond"/>
                <w:highlight w:val="yellow"/>
              </w:rPr>
              <w:t>и стоимостях</w:t>
            </w:r>
            <w:r>
              <w:rPr>
                <w:rFonts w:ascii="Garamond" w:hAnsi="Garamond"/>
              </w:rPr>
              <w:t xml:space="preserve"> отклонений </w:t>
            </w:r>
            <w:r w:rsidRPr="00DD6F95">
              <w:rPr>
                <w:rFonts w:ascii="Garamond" w:hAnsi="Garamond"/>
                <w:highlight w:val="yellow"/>
              </w:rPr>
              <w:t>(в том числе о величине разности суммарных обязательств и суммарных требований за расчетный период в БР и ее доли, причитающейся покупателю</w:t>
            </w:r>
            <w:r w:rsidRPr="001E1FD4">
              <w:rPr>
                <w:rFonts w:ascii="Garamond" w:hAnsi="Garamond"/>
                <w:highlight w:val="yellow"/>
              </w:rPr>
              <w:t>),</w:t>
            </w:r>
            <w:r w:rsidRPr="00E8163B">
              <w:rPr>
                <w:rFonts w:ascii="Garamond" w:hAnsi="Garamond"/>
              </w:rPr>
              <w:t xml:space="preserve"> с указанием соответству</w:t>
            </w:r>
            <w:r>
              <w:rPr>
                <w:rFonts w:ascii="Garamond" w:hAnsi="Garamond"/>
              </w:rPr>
              <w:t>ющих индикаторов, рассчитанных С</w:t>
            </w:r>
            <w:r w:rsidRPr="00E8163B">
              <w:rPr>
                <w:rFonts w:ascii="Garamond" w:hAnsi="Garamond"/>
              </w:rPr>
              <w:t>истемным оператором, и ставок, которые использовались КО для расчета соответствующих стоимостей отклонений.</w:t>
            </w:r>
          </w:p>
          <w:p w:rsidR="00DD6F95" w:rsidRPr="002B5432" w:rsidRDefault="00DD6F95" w:rsidP="000817A4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260"/>
                <w:tab w:val="left" w:pos="0"/>
                <w:tab w:val="left" w:pos="4477"/>
              </w:tabs>
              <w:spacing w:after="120"/>
              <w:ind w:left="643" w:hanging="360"/>
              <w:rPr>
                <w:szCs w:val="22"/>
              </w:rPr>
            </w:pPr>
            <w:r w:rsidRPr="002B5432">
              <w:rPr>
                <w:szCs w:val="22"/>
              </w:rPr>
              <w:t>…</w:t>
            </w:r>
          </w:p>
        </w:tc>
        <w:tc>
          <w:tcPr>
            <w:tcW w:w="7020" w:type="dxa"/>
          </w:tcPr>
          <w:p w:rsidR="00DD6F95" w:rsidRDefault="00DD6F95" w:rsidP="000817A4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260"/>
                <w:tab w:val="left" w:pos="0"/>
                <w:tab w:val="left" w:pos="4477"/>
              </w:tabs>
              <w:spacing w:after="120"/>
              <w:rPr>
                <w:szCs w:val="22"/>
              </w:rPr>
            </w:pPr>
            <w:r w:rsidRPr="002B5432">
              <w:rPr>
                <w:szCs w:val="22"/>
              </w:rPr>
              <w:t>…</w:t>
            </w:r>
          </w:p>
          <w:p w:rsidR="00DD6F95" w:rsidRPr="00E8163B" w:rsidRDefault="00DD6F95" w:rsidP="000817A4">
            <w:pPr>
              <w:pStyle w:val="subclauseindent"/>
              <w:numPr>
                <w:ilvl w:val="0"/>
                <w:numId w:val="2"/>
              </w:numPr>
              <w:rPr>
                <w:rFonts w:ascii="Garamond" w:hAnsi="Garamond"/>
                <w:b/>
              </w:rPr>
            </w:pPr>
            <w:r w:rsidRPr="00E8163B">
              <w:rPr>
                <w:rFonts w:ascii="Garamond" w:hAnsi="Garamond"/>
              </w:rPr>
              <w:t xml:space="preserve">отчет о величинах </w:t>
            </w:r>
            <w:r>
              <w:rPr>
                <w:rFonts w:ascii="Garamond" w:hAnsi="Garamond"/>
              </w:rPr>
              <w:t xml:space="preserve">отклонений </w:t>
            </w:r>
            <w:r w:rsidRPr="00E8163B">
              <w:rPr>
                <w:rFonts w:ascii="Garamond" w:hAnsi="Garamond"/>
              </w:rPr>
              <w:t>с указанием соответству</w:t>
            </w:r>
            <w:r>
              <w:rPr>
                <w:rFonts w:ascii="Garamond" w:hAnsi="Garamond"/>
              </w:rPr>
              <w:t>ющих индикаторов, рассчитанных С</w:t>
            </w:r>
            <w:r w:rsidRPr="00E8163B">
              <w:rPr>
                <w:rFonts w:ascii="Garamond" w:hAnsi="Garamond"/>
              </w:rPr>
              <w:t>истемным оператором, и ставок, которые использовались КО для расчета соответствующих стоимостей отклонений.</w:t>
            </w:r>
          </w:p>
          <w:p w:rsidR="00DD6F95" w:rsidRPr="002B5432" w:rsidRDefault="00DD6F95" w:rsidP="000817A4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D6F95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</w:tbl>
    <w:p w:rsidR="00421863" w:rsidRDefault="00421863" w:rsidP="00AA1EFE">
      <w:pPr>
        <w:pStyle w:val="20"/>
        <w:keepNext w:val="0"/>
        <w:widowControl w:val="0"/>
        <w:numPr>
          <w:ilvl w:val="1"/>
          <w:numId w:val="0"/>
        </w:numPr>
        <w:tabs>
          <w:tab w:val="num" w:pos="756"/>
        </w:tabs>
        <w:jc w:val="both"/>
        <w:rPr>
          <w:rFonts w:ascii="Garamond" w:hAnsi="Garamond"/>
          <w:sz w:val="26"/>
          <w:szCs w:val="26"/>
        </w:rPr>
      </w:pPr>
    </w:p>
    <w:p w:rsidR="001E1FD4" w:rsidRDefault="001E1FD4">
      <w:pPr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sz w:val="26"/>
          <w:szCs w:val="26"/>
        </w:rPr>
        <w:br w:type="page"/>
      </w:r>
    </w:p>
    <w:p w:rsidR="00AA1EFE" w:rsidRPr="002B5432" w:rsidRDefault="005C6838" w:rsidP="001E1FD4">
      <w:pPr>
        <w:pStyle w:val="20"/>
        <w:keepNext w:val="0"/>
        <w:widowControl w:val="0"/>
        <w:numPr>
          <w:ilvl w:val="1"/>
          <w:numId w:val="0"/>
        </w:numPr>
        <w:tabs>
          <w:tab w:val="num" w:pos="756"/>
        </w:tabs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lastRenderedPageBreak/>
        <w:t>Предложения по изменениям</w:t>
      </w:r>
      <w:r w:rsidR="00AA1EFE" w:rsidRPr="002B5432">
        <w:rPr>
          <w:rFonts w:ascii="Garamond" w:hAnsi="Garamond"/>
          <w:sz w:val="26"/>
          <w:szCs w:val="26"/>
        </w:rPr>
        <w:t xml:space="preserve"> и дополнениям в РЕГЛАМЕНТ </w:t>
      </w:r>
      <w:r>
        <w:rPr>
          <w:rFonts w:ascii="Garamond" w:hAnsi="Garamond"/>
          <w:sz w:val="26"/>
          <w:szCs w:val="26"/>
        </w:rPr>
        <w:t>ОПРЕДЕЛЕНИЯ ОБЪЕМОВ, ИНИЦИАТИВ И СТОИМОСТИ ОТКЛОНЕНИЙ</w:t>
      </w:r>
      <w:r w:rsidR="00AA1EFE" w:rsidRPr="002B5432">
        <w:rPr>
          <w:rFonts w:ascii="Garamond" w:hAnsi="Garamond"/>
          <w:sz w:val="26"/>
          <w:szCs w:val="26"/>
        </w:rPr>
        <w:t xml:space="preserve"> (Приложение № </w:t>
      </w:r>
      <w:r>
        <w:rPr>
          <w:rFonts w:ascii="Garamond" w:hAnsi="Garamond"/>
          <w:sz w:val="26"/>
          <w:szCs w:val="26"/>
        </w:rPr>
        <w:t>12</w:t>
      </w:r>
      <w:r w:rsidR="00D10989">
        <w:rPr>
          <w:rFonts w:ascii="Garamond" w:hAnsi="Garamond"/>
          <w:sz w:val="26"/>
          <w:szCs w:val="26"/>
        </w:rPr>
        <w:t xml:space="preserve"> к Договору о присоединении </w:t>
      </w:r>
      <w:r w:rsidR="00AA1EFE" w:rsidRPr="002B5432">
        <w:rPr>
          <w:rFonts w:ascii="Garamond" w:hAnsi="Garamond"/>
          <w:sz w:val="26"/>
          <w:szCs w:val="26"/>
        </w:rPr>
        <w:t>к торговой системе оптового рынка)</w:t>
      </w:r>
    </w:p>
    <w:p w:rsidR="00AA1EFE" w:rsidRPr="002B5432" w:rsidRDefault="00AA1EFE" w:rsidP="00AA1EFE">
      <w:pPr>
        <w:widowControl w:val="0"/>
        <w:rPr>
          <w:rFonts w:ascii="Garamond" w:hAnsi="Garamond"/>
        </w:rPr>
      </w:pPr>
    </w:p>
    <w:p w:rsidR="00AA1EFE" w:rsidRPr="001E1FD4" w:rsidRDefault="001E1FD4" w:rsidP="00AA1EFE">
      <w:pPr>
        <w:widowControl w:val="0"/>
        <w:spacing w:before="120" w:after="120"/>
        <w:rPr>
          <w:rFonts w:ascii="Garamond" w:hAnsi="Garamond"/>
          <w:b/>
        </w:rPr>
      </w:pPr>
      <w:r w:rsidRPr="001E1FD4">
        <w:rPr>
          <w:rFonts w:ascii="Garamond" w:hAnsi="Garamond"/>
          <w:b/>
        </w:rPr>
        <w:t>Добавить приложение</w:t>
      </w:r>
    </w:p>
    <w:p w:rsidR="00D00720" w:rsidRPr="001E1FD4" w:rsidRDefault="00D10989" w:rsidP="00D10989">
      <w:pPr>
        <w:jc w:val="right"/>
        <w:rPr>
          <w:rFonts w:ascii="Garamond" w:hAnsi="Garamond"/>
          <w:b/>
          <w:sz w:val="22"/>
          <w:szCs w:val="22"/>
        </w:rPr>
      </w:pPr>
      <w:r w:rsidRPr="001E1FD4">
        <w:rPr>
          <w:rFonts w:ascii="Garamond" w:hAnsi="Garamond"/>
          <w:b/>
          <w:sz w:val="22"/>
          <w:szCs w:val="22"/>
        </w:rPr>
        <w:t xml:space="preserve">Приложение </w:t>
      </w:r>
      <w:r w:rsidR="00625C92" w:rsidRPr="001E1FD4">
        <w:rPr>
          <w:rFonts w:ascii="Garamond" w:hAnsi="Garamond"/>
          <w:b/>
          <w:sz w:val="22"/>
          <w:szCs w:val="22"/>
        </w:rPr>
        <w:t>5</w:t>
      </w:r>
    </w:p>
    <w:p w:rsidR="001E1FD4" w:rsidRDefault="001E1FD4" w:rsidP="007C7F6F">
      <w:pPr>
        <w:jc w:val="center"/>
        <w:rPr>
          <w:rFonts w:ascii="Garamond" w:hAnsi="Garamond"/>
          <w:b/>
          <w:sz w:val="22"/>
          <w:szCs w:val="22"/>
        </w:rPr>
      </w:pPr>
    </w:p>
    <w:p w:rsidR="007C7F6F" w:rsidRPr="001E1FD4" w:rsidRDefault="007C7F6F" w:rsidP="007C7F6F">
      <w:pPr>
        <w:jc w:val="center"/>
        <w:rPr>
          <w:rFonts w:ascii="Garamond" w:hAnsi="Garamond"/>
          <w:b/>
          <w:sz w:val="22"/>
          <w:szCs w:val="22"/>
        </w:rPr>
      </w:pPr>
      <w:r w:rsidRPr="001E1FD4">
        <w:rPr>
          <w:rFonts w:ascii="Garamond" w:hAnsi="Garamond"/>
          <w:b/>
          <w:sz w:val="22"/>
          <w:szCs w:val="22"/>
        </w:rPr>
        <w:t>Отчет о величине корректировки небаланса балансирующего рынка в ценовых зонах</w:t>
      </w:r>
    </w:p>
    <w:p w:rsidR="00D10989" w:rsidRPr="001E1FD4" w:rsidRDefault="00D10989" w:rsidP="00D10989">
      <w:pPr>
        <w:jc w:val="right"/>
        <w:rPr>
          <w:rFonts w:ascii="Garamond" w:hAnsi="Garamond"/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7"/>
        <w:gridCol w:w="842"/>
        <w:gridCol w:w="860"/>
        <w:gridCol w:w="916"/>
        <w:gridCol w:w="965"/>
        <w:gridCol w:w="904"/>
        <w:gridCol w:w="897"/>
        <w:gridCol w:w="904"/>
        <w:gridCol w:w="1116"/>
        <w:gridCol w:w="1446"/>
        <w:gridCol w:w="1087"/>
        <w:gridCol w:w="858"/>
        <w:gridCol w:w="866"/>
        <w:gridCol w:w="1056"/>
        <w:gridCol w:w="986"/>
      </w:tblGrid>
      <w:tr w:rsidR="0014132E" w:rsidRPr="001E1FD4" w:rsidTr="00D10989">
        <w:trPr>
          <w:trHeight w:val="1078"/>
        </w:trPr>
        <w:tc>
          <w:tcPr>
            <w:tcW w:w="985" w:type="dxa"/>
            <w:vAlign w:val="center"/>
          </w:tcPr>
          <w:p w:rsidR="00D10989" w:rsidRPr="001E1FD4" w:rsidRDefault="00D10989" w:rsidP="00D1098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1FD4">
              <w:rPr>
                <w:rFonts w:ascii="Garamond" w:hAnsi="Garamond"/>
                <w:position w:val="-6"/>
                <w:sz w:val="22"/>
                <w:szCs w:val="22"/>
              </w:rPr>
              <w:object w:dxaOrig="26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75pt;height:10.65pt" o:ole="">
                  <v:imagedata r:id="rId5" o:title=""/>
                </v:shape>
                <o:OLEObject Type="Embed" ProgID="Equation.3" ShapeID="_x0000_i1025" DrawAspect="Content" ObjectID="_1659362456" r:id="rId6"/>
              </w:object>
            </w:r>
          </w:p>
        </w:tc>
        <w:tc>
          <w:tcPr>
            <w:tcW w:w="986" w:type="dxa"/>
            <w:vAlign w:val="center"/>
          </w:tcPr>
          <w:p w:rsidR="00D10989" w:rsidRPr="001E1FD4" w:rsidRDefault="00D10989" w:rsidP="00D1098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1FD4">
              <w:rPr>
                <w:rFonts w:ascii="Garamond" w:hAnsi="Garamond"/>
                <w:position w:val="-4"/>
                <w:sz w:val="22"/>
                <w:szCs w:val="22"/>
              </w:rPr>
              <w:object w:dxaOrig="200" w:dyaOrig="260">
                <v:shape id="_x0000_i1026" type="#_x0000_t75" style="width:10.65pt;height:11.9pt" o:ole="">
                  <v:imagedata r:id="rId7" o:title=""/>
                </v:shape>
                <o:OLEObject Type="Embed" ProgID="Equation.3" ShapeID="_x0000_i1026" DrawAspect="Content" ObjectID="_1659362457" r:id="rId8"/>
              </w:object>
            </w:r>
          </w:p>
        </w:tc>
        <w:tc>
          <w:tcPr>
            <w:tcW w:w="985" w:type="dxa"/>
            <w:vAlign w:val="center"/>
          </w:tcPr>
          <w:p w:rsidR="00D10989" w:rsidRPr="001E1FD4" w:rsidRDefault="00CE481C" w:rsidP="00D1098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1FD4">
              <w:rPr>
                <w:rFonts w:ascii="Garamond" w:hAnsi="Garamond"/>
                <w:position w:val="-12"/>
                <w:sz w:val="22"/>
                <w:szCs w:val="22"/>
              </w:rPr>
              <w:object w:dxaOrig="260" w:dyaOrig="360">
                <v:shape id="_x0000_i1027" type="#_x0000_t75" style="width:13.75pt;height:19.4pt" o:ole="">
                  <v:imagedata r:id="rId9" o:title=""/>
                </v:shape>
                <o:OLEObject Type="Embed" ProgID="Equation.DSMT4" ShapeID="_x0000_i1027" DrawAspect="Content" ObjectID="_1659362458" r:id="rId10"/>
              </w:object>
            </w:r>
          </w:p>
        </w:tc>
        <w:tc>
          <w:tcPr>
            <w:tcW w:w="984" w:type="dxa"/>
            <w:vAlign w:val="center"/>
          </w:tcPr>
          <w:p w:rsidR="00D10989" w:rsidRPr="001E1FD4" w:rsidRDefault="00CE481C" w:rsidP="00D1098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1FD4">
              <w:rPr>
                <w:rFonts w:ascii="Garamond" w:hAnsi="Garamond"/>
                <w:position w:val="-14"/>
                <w:sz w:val="22"/>
                <w:szCs w:val="22"/>
              </w:rPr>
              <w:object w:dxaOrig="520" w:dyaOrig="400">
                <v:shape id="_x0000_i1028" type="#_x0000_t75" style="width:25.05pt;height:19.4pt" o:ole="">
                  <v:imagedata r:id="rId11" o:title=""/>
                </v:shape>
                <o:OLEObject Type="Embed" ProgID="Equation.3" ShapeID="_x0000_i1028" DrawAspect="Content" ObjectID="_1659362459" r:id="rId12"/>
              </w:object>
            </w:r>
          </w:p>
        </w:tc>
        <w:tc>
          <w:tcPr>
            <w:tcW w:w="986" w:type="dxa"/>
            <w:vAlign w:val="center"/>
          </w:tcPr>
          <w:p w:rsidR="00D10989" w:rsidRPr="001E1FD4" w:rsidRDefault="002A7C02" w:rsidP="00D1098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1FD4">
              <w:rPr>
                <w:rFonts w:ascii="Garamond" w:hAnsi="Garamond"/>
                <w:position w:val="-14"/>
                <w:sz w:val="22"/>
                <w:szCs w:val="22"/>
              </w:rPr>
              <w:object w:dxaOrig="740" w:dyaOrig="400">
                <v:shape id="_x0000_i1029" type="#_x0000_t75" style="width:34.45pt;height:19.4pt" o:ole="">
                  <v:imagedata r:id="rId13" o:title=""/>
                </v:shape>
                <o:OLEObject Type="Embed" ProgID="Equation.3" ShapeID="_x0000_i1029" DrawAspect="Content" ObjectID="_1659362460" r:id="rId14"/>
              </w:object>
            </w:r>
          </w:p>
        </w:tc>
        <w:tc>
          <w:tcPr>
            <w:tcW w:w="986" w:type="dxa"/>
            <w:vAlign w:val="center"/>
          </w:tcPr>
          <w:p w:rsidR="00D10989" w:rsidRPr="001E1FD4" w:rsidRDefault="002A7C02" w:rsidP="00D1098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1FD4">
              <w:rPr>
                <w:rFonts w:ascii="Garamond" w:hAnsi="Garamond"/>
                <w:position w:val="-14"/>
                <w:sz w:val="22"/>
                <w:szCs w:val="22"/>
              </w:rPr>
              <w:object w:dxaOrig="480" w:dyaOrig="400">
                <v:shape id="_x0000_i1030" type="#_x0000_t75" style="width:22.55pt;height:19.4pt" o:ole="">
                  <v:imagedata r:id="rId15" o:title=""/>
                </v:shape>
                <o:OLEObject Type="Embed" ProgID="Equation.3" ShapeID="_x0000_i1030" DrawAspect="Content" ObjectID="_1659362461" r:id="rId16"/>
              </w:object>
            </w:r>
          </w:p>
        </w:tc>
        <w:tc>
          <w:tcPr>
            <w:tcW w:w="986" w:type="dxa"/>
            <w:vAlign w:val="center"/>
          </w:tcPr>
          <w:p w:rsidR="00D10989" w:rsidRPr="001E1FD4" w:rsidRDefault="002A7C02" w:rsidP="00D1098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1FD4">
              <w:rPr>
                <w:rFonts w:ascii="Garamond" w:hAnsi="Garamond"/>
                <w:position w:val="-14"/>
                <w:sz w:val="22"/>
                <w:szCs w:val="22"/>
              </w:rPr>
              <w:object w:dxaOrig="440" w:dyaOrig="400">
                <v:shape id="_x0000_i1031" type="#_x0000_t75" style="width:21.3pt;height:19.4pt" o:ole="">
                  <v:imagedata r:id="rId17" o:title=""/>
                </v:shape>
                <o:OLEObject Type="Embed" ProgID="Equation.3" ShapeID="_x0000_i1031" DrawAspect="Content" ObjectID="_1659362462" r:id="rId18"/>
              </w:object>
            </w:r>
          </w:p>
        </w:tc>
        <w:tc>
          <w:tcPr>
            <w:tcW w:w="986" w:type="dxa"/>
            <w:vAlign w:val="center"/>
          </w:tcPr>
          <w:p w:rsidR="00D10989" w:rsidRPr="001E1FD4" w:rsidRDefault="002A7C02" w:rsidP="00D1098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1FD4">
              <w:rPr>
                <w:rFonts w:ascii="Garamond" w:hAnsi="Garamond"/>
                <w:position w:val="-14"/>
                <w:sz w:val="22"/>
                <w:szCs w:val="22"/>
              </w:rPr>
              <w:object w:dxaOrig="480" w:dyaOrig="400">
                <v:shape id="_x0000_i1032" type="#_x0000_t75" style="width:22.55pt;height:19.4pt" o:ole="">
                  <v:imagedata r:id="rId19" o:title=""/>
                </v:shape>
                <o:OLEObject Type="Embed" ProgID="Equation.3" ShapeID="_x0000_i1032" DrawAspect="Content" ObjectID="_1659362463" r:id="rId20"/>
              </w:object>
            </w:r>
          </w:p>
        </w:tc>
        <w:tc>
          <w:tcPr>
            <w:tcW w:w="986" w:type="dxa"/>
            <w:vAlign w:val="center"/>
          </w:tcPr>
          <w:p w:rsidR="00D10989" w:rsidRPr="001E1FD4" w:rsidRDefault="00656B32" w:rsidP="00D1098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1FD4">
              <w:rPr>
                <w:rFonts w:ascii="Garamond" w:hAnsi="Garamond"/>
                <w:position w:val="-14"/>
                <w:sz w:val="22"/>
                <w:szCs w:val="22"/>
              </w:rPr>
              <w:object w:dxaOrig="900" w:dyaOrig="400">
                <v:shape id="_x0000_i1033" type="#_x0000_t75" style="width:45.1pt;height:20.65pt" o:ole="">
                  <v:imagedata r:id="rId21" o:title=""/>
                </v:shape>
                <o:OLEObject Type="Embed" ProgID="Equation.3" ShapeID="_x0000_i1033" DrawAspect="Content" ObjectID="_1659362464" r:id="rId22"/>
              </w:object>
            </w:r>
          </w:p>
        </w:tc>
        <w:tc>
          <w:tcPr>
            <w:tcW w:w="986" w:type="dxa"/>
            <w:vAlign w:val="center"/>
          </w:tcPr>
          <w:p w:rsidR="00D10989" w:rsidRPr="001E1FD4" w:rsidRDefault="00656B32" w:rsidP="00D1098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1FD4">
              <w:rPr>
                <w:rFonts w:ascii="Garamond" w:hAnsi="Garamond"/>
                <w:position w:val="-14"/>
                <w:sz w:val="22"/>
                <w:szCs w:val="22"/>
              </w:rPr>
              <w:object w:dxaOrig="1219" w:dyaOrig="400">
                <v:shape id="_x0000_i1034" type="#_x0000_t75" style="width:61.35pt;height:20.65pt" o:ole="">
                  <v:imagedata r:id="rId23" o:title=""/>
                </v:shape>
                <o:OLEObject Type="Embed" ProgID="Equation.3" ShapeID="_x0000_i1034" DrawAspect="Content" ObjectID="_1659362465" r:id="rId24"/>
              </w:object>
            </w:r>
          </w:p>
        </w:tc>
        <w:tc>
          <w:tcPr>
            <w:tcW w:w="986" w:type="dxa"/>
            <w:vAlign w:val="center"/>
          </w:tcPr>
          <w:p w:rsidR="00D10989" w:rsidRPr="001E1FD4" w:rsidRDefault="00A35BFB" w:rsidP="00D10989">
            <w:pPr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1E1FD4">
              <w:rPr>
                <w:rFonts w:ascii="Garamond" w:hAnsi="Garamond"/>
                <w:position w:val="-14"/>
                <w:sz w:val="22"/>
                <w:szCs w:val="22"/>
              </w:rPr>
              <w:object w:dxaOrig="859" w:dyaOrig="400">
                <v:shape id="_x0000_i1035" type="#_x0000_t75" style="width:43.2pt;height:20.65pt" o:ole="">
                  <v:imagedata r:id="rId25" o:title=""/>
                </v:shape>
                <o:OLEObject Type="Embed" ProgID="Equation.3" ShapeID="_x0000_i1035" DrawAspect="Content" ObjectID="_1659362466" r:id="rId26"/>
              </w:object>
            </w:r>
          </w:p>
        </w:tc>
        <w:tc>
          <w:tcPr>
            <w:tcW w:w="986" w:type="dxa"/>
            <w:vAlign w:val="center"/>
          </w:tcPr>
          <w:p w:rsidR="00D10989" w:rsidRPr="001E1FD4" w:rsidRDefault="0014132E" w:rsidP="00D1098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1FD4">
              <w:rPr>
                <w:rFonts w:ascii="Garamond" w:hAnsi="Garamond"/>
                <w:position w:val="-6"/>
                <w:sz w:val="22"/>
                <w:szCs w:val="22"/>
              </w:rPr>
              <w:object w:dxaOrig="279" w:dyaOrig="320">
                <v:shape id="_x0000_i1036" type="#_x0000_t75" style="width:13.75pt;height:15.65pt" o:ole="">
                  <v:imagedata r:id="rId27" o:title=""/>
                </v:shape>
                <o:OLEObject Type="Embed" ProgID="Equation.3" ShapeID="_x0000_i1036" DrawAspect="Content" ObjectID="_1659362467" r:id="rId28"/>
              </w:object>
            </w:r>
          </w:p>
        </w:tc>
        <w:tc>
          <w:tcPr>
            <w:tcW w:w="986" w:type="dxa"/>
            <w:vAlign w:val="center"/>
          </w:tcPr>
          <w:p w:rsidR="00D10989" w:rsidRPr="001E1FD4" w:rsidRDefault="0014132E" w:rsidP="00D1098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1FD4">
              <w:rPr>
                <w:rFonts w:ascii="Garamond" w:hAnsi="Garamond"/>
                <w:position w:val="-6"/>
                <w:sz w:val="22"/>
                <w:szCs w:val="22"/>
              </w:rPr>
              <w:object w:dxaOrig="300" w:dyaOrig="320">
                <v:shape id="_x0000_i1037" type="#_x0000_t75" style="width:15.05pt;height:15.65pt" o:ole="">
                  <v:imagedata r:id="rId29" o:title=""/>
                </v:shape>
                <o:OLEObject Type="Embed" ProgID="Equation.3" ShapeID="_x0000_i1037" DrawAspect="Content" ObjectID="_1659362468" r:id="rId30"/>
              </w:object>
            </w:r>
          </w:p>
        </w:tc>
        <w:tc>
          <w:tcPr>
            <w:tcW w:w="986" w:type="dxa"/>
            <w:vAlign w:val="center"/>
          </w:tcPr>
          <w:p w:rsidR="00D10989" w:rsidRPr="001E1FD4" w:rsidRDefault="0014132E" w:rsidP="00D1098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1FD4">
              <w:rPr>
                <w:rFonts w:ascii="Garamond" w:hAnsi="Garamond"/>
                <w:position w:val="-14"/>
                <w:sz w:val="22"/>
                <w:szCs w:val="22"/>
              </w:rPr>
              <w:object w:dxaOrig="840" w:dyaOrig="400">
                <v:shape id="_x0000_i1038" type="#_x0000_t75" style="width:41.95pt;height:20.65pt" o:ole="">
                  <v:imagedata r:id="rId31" o:title=""/>
                </v:shape>
                <o:OLEObject Type="Embed" ProgID="Equation.3" ShapeID="_x0000_i1038" DrawAspect="Content" ObjectID="_1659362469" r:id="rId32"/>
              </w:object>
            </w:r>
          </w:p>
        </w:tc>
        <w:tc>
          <w:tcPr>
            <w:tcW w:w="986" w:type="dxa"/>
            <w:vAlign w:val="center"/>
          </w:tcPr>
          <w:p w:rsidR="00D10989" w:rsidRPr="001E1FD4" w:rsidRDefault="007C7F6F" w:rsidP="00D1098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1FD4">
              <w:rPr>
                <w:rFonts w:ascii="Garamond" w:hAnsi="Garamond"/>
                <w:position w:val="-14"/>
                <w:sz w:val="22"/>
                <w:szCs w:val="22"/>
              </w:rPr>
              <w:object w:dxaOrig="760" w:dyaOrig="400">
                <v:shape id="_x0000_i1039" type="#_x0000_t75" style="width:38.2pt;height:20.65pt" o:ole="">
                  <v:imagedata r:id="rId33" o:title=""/>
                </v:shape>
                <o:OLEObject Type="Embed" ProgID="Equation.3" ShapeID="_x0000_i1039" DrawAspect="Content" ObjectID="_1659362470" r:id="rId34"/>
              </w:object>
            </w:r>
          </w:p>
        </w:tc>
      </w:tr>
      <w:tr w:rsidR="00D10989" w:rsidRPr="001E1FD4" w:rsidTr="00060A75">
        <w:tc>
          <w:tcPr>
            <w:tcW w:w="14786" w:type="dxa"/>
            <w:gridSpan w:val="15"/>
          </w:tcPr>
          <w:p w:rsidR="00D10989" w:rsidRPr="001E1FD4" w:rsidRDefault="00D10989" w:rsidP="00D10989">
            <w:pPr>
              <w:rPr>
                <w:rFonts w:ascii="Garamond" w:hAnsi="Garamond"/>
                <w:sz w:val="22"/>
                <w:szCs w:val="22"/>
              </w:rPr>
            </w:pPr>
            <w:r w:rsidRPr="001E1FD4">
              <w:rPr>
                <w:rFonts w:ascii="Garamond" w:hAnsi="Garamond"/>
                <w:sz w:val="22"/>
                <w:szCs w:val="22"/>
              </w:rPr>
              <w:t>I - я Ценовая зона (Европа)</w:t>
            </w:r>
          </w:p>
        </w:tc>
      </w:tr>
      <w:tr w:rsidR="0014132E" w:rsidRPr="001E1FD4" w:rsidTr="00D10989">
        <w:tc>
          <w:tcPr>
            <w:tcW w:w="985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5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4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D10989" w:rsidRPr="001E1FD4" w:rsidTr="00E833D8">
        <w:tc>
          <w:tcPr>
            <w:tcW w:w="14786" w:type="dxa"/>
            <w:gridSpan w:val="15"/>
          </w:tcPr>
          <w:p w:rsidR="00D10989" w:rsidRPr="001E1FD4" w:rsidRDefault="00D10989" w:rsidP="00D10989">
            <w:pPr>
              <w:rPr>
                <w:rFonts w:ascii="Garamond" w:hAnsi="Garamond"/>
                <w:sz w:val="22"/>
                <w:szCs w:val="22"/>
              </w:rPr>
            </w:pPr>
            <w:r w:rsidRPr="001E1FD4">
              <w:rPr>
                <w:rFonts w:ascii="Garamond" w:hAnsi="Garamond"/>
                <w:sz w:val="22"/>
                <w:szCs w:val="22"/>
              </w:rPr>
              <w:t xml:space="preserve">II </w:t>
            </w:r>
            <w:r w:rsidR="002A7C02" w:rsidRPr="001E1FD4">
              <w:rPr>
                <w:rFonts w:ascii="Garamond" w:hAnsi="Garamond"/>
                <w:sz w:val="22"/>
                <w:szCs w:val="22"/>
              </w:rPr>
              <w:t>-</w:t>
            </w:r>
            <w:r w:rsidRPr="001E1FD4">
              <w:rPr>
                <w:rFonts w:ascii="Garamond" w:hAnsi="Garamond"/>
                <w:sz w:val="22"/>
                <w:szCs w:val="22"/>
              </w:rPr>
              <w:t xml:space="preserve"> я Ценовая зона (Сибирь)</w:t>
            </w:r>
          </w:p>
        </w:tc>
      </w:tr>
      <w:tr w:rsidR="0014132E" w:rsidRPr="001E1FD4" w:rsidTr="00D10989">
        <w:tc>
          <w:tcPr>
            <w:tcW w:w="985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5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4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86" w:type="dxa"/>
          </w:tcPr>
          <w:p w:rsidR="00D10989" w:rsidRPr="001E1FD4" w:rsidRDefault="00D10989" w:rsidP="00D10989">
            <w:pPr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</w:tbl>
    <w:p w:rsidR="00CE481C" w:rsidRPr="001E1FD4" w:rsidRDefault="00CE481C" w:rsidP="00CE481C">
      <w:pPr>
        <w:rPr>
          <w:rFonts w:ascii="Garamond" w:hAnsi="Garamond"/>
          <w:b/>
          <w:sz w:val="22"/>
          <w:szCs w:val="22"/>
        </w:rPr>
      </w:pPr>
    </w:p>
    <w:p w:rsidR="00CE481C" w:rsidRPr="001E1FD4" w:rsidRDefault="00CE481C" w:rsidP="00CE481C">
      <w:pPr>
        <w:spacing w:after="120"/>
        <w:rPr>
          <w:rFonts w:ascii="Garamond" w:hAnsi="Garamond"/>
          <w:sz w:val="22"/>
          <w:szCs w:val="22"/>
        </w:rPr>
      </w:pPr>
      <w:r w:rsidRPr="001E1FD4">
        <w:rPr>
          <w:rFonts w:ascii="Garamond" w:hAnsi="Garamond"/>
          <w:sz w:val="22"/>
          <w:szCs w:val="22"/>
        </w:rPr>
        <w:t>где</w:t>
      </w:r>
    </w:p>
    <w:p w:rsidR="00CE481C" w:rsidRPr="001E1FD4" w:rsidRDefault="00CE481C" w:rsidP="00CE481C">
      <w:pPr>
        <w:spacing w:after="120"/>
        <w:rPr>
          <w:rFonts w:ascii="Garamond" w:hAnsi="Garamond"/>
          <w:sz w:val="22"/>
          <w:szCs w:val="22"/>
        </w:rPr>
      </w:pPr>
      <w:r w:rsidRPr="001E1FD4">
        <w:rPr>
          <w:rFonts w:ascii="Garamond" w:hAnsi="Garamond"/>
          <w:position w:val="-6"/>
          <w:sz w:val="22"/>
          <w:szCs w:val="22"/>
        </w:rPr>
        <w:object w:dxaOrig="260" w:dyaOrig="220">
          <v:shape id="_x0000_i1040" type="#_x0000_t75" style="width:13.75pt;height:10.65pt" o:ole="">
            <v:imagedata r:id="rId5" o:title=""/>
          </v:shape>
          <o:OLEObject Type="Embed" ProgID="Equation.3" ShapeID="_x0000_i1040" DrawAspect="Content" ObjectID="_1659362471" r:id="rId35"/>
        </w:object>
      </w:r>
      <w:r w:rsidR="001E1FD4">
        <w:rPr>
          <w:rFonts w:ascii="Garamond" w:hAnsi="Garamond"/>
          <w:sz w:val="22"/>
          <w:szCs w:val="22"/>
        </w:rPr>
        <w:t>–</w:t>
      </w:r>
      <w:r w:rsidRPr="001E1FD4">
        <w:rPr>
          <w:rFonts w:ascii="Garamond" w:hAnsi="Garamond"/>
          <w:sz w:val="22"/>
          <w:szCs w:val="22"/>
        </w:rPr>
        <w:t xml:space="preserve"> расчетный период;</w:t>
      </w:r>
    </w:p>
    <w:p w:rsidR="00CE481C" w:rsidRPr="001E1FD4" w:rsidRDefault="00CE481C" w:rsidP="00CE481C">
      <w:pPr>
        <w:spacing w:after="120"/>
        <w:rPr>
          <w:rFonts w:ascii="Garamond" w:hAnsi="Garamond"/>
          <w:sz w:val="22"/>
          <w:szCs w:val="22"/>
        </w:rPr>
      </w:pPr>
      <w:r w:rsidRPr="001E1FD4">
        <w:rPr>
          <w:rFonts w:ascii="Garamond" w:hAnsi="Garamond"/>
          <w:position w:val="-4"/>
          <w:sz w:val="22"/>
          <w:szCs w:val="22"/>
        </w:rPr>
        <w:object w:dxaOrig="200" w:dyaOrig="260">
          <v:shape id="_x0000_i1041" type="#_x0000_t75" style="width:10.65pt;height:11.9pt" o:ole="">
            <v:imagedata r:id="rId7" o:title=""/>
          </v:shape>
          <o:OLEObject Type="Embed" ProgID="Equation.3" ShapeID="_x0000_i1041" DrawAspect="Content" ObjectID="_1659362472" r:id="rId36"/>
        </w:object>
      </w:r>
      <w:r w:rsidRPr="001E1FD4">
        <w:rPr>
          <w:rFonts w:ascii="Garamond" w:hAnsi="Garamond"/>
          <w:sz w:val="22"/>
          <w:szCs w:val="22"/>
        </w:rPr>
        <w:t xml:space="preserve"> </w:t>
      </w:r>
      <w:r w:rsidR="001E1FD4">
        <w:rPr>
          <w:rFonts w:ascii="Garamond" w:hAnsi="Garamond"/>
          <w:sz w:val="22"/>
          <w:szCs w:val="22"/>
        </w:rPr>
        <w:t>–</w:t>
      </w:r>
      <w:r w:rsidRPr="001E1FD4">
        <w:rPr>
          <w:rFonts w:ascii="Garamond" w:hAnsi="Garamond"/>
          <w:sz w:val="22"/>
          <w:szCs w:val="22"/>
        </w:rPr>
        <w:t xml:space="preserve"> </w:t>
      </w:r>
      <w:r w:rsidR="001E1FD4">
        <w:rPr>
          <w:rFonts w:ascii="Garamond" w:hAnsi="Garamond"/>
          <w:sz w:val="22"/>
          <w:szCs w:val="22"/>
        </w:rPr>
        <w:t>номер</w:t>
      </w:r>
      <w:r w:rsidRPr="001E1FD4">
        <w:rPr>
          <w:rFonts w:ascii="Garamond" w:hAnsi="Garamond"/>
          <w:sz w:val="22"/>
          <w:szCs w:val="22"/>
        </w:rPr>
        <w:t xml:space="preserve"> итерации при распределении разницы суммарных обязательств участников и суммарных требований участников;</w:t>
      </w:r>
    </w:p>
    <w:p w:rsidR="00CE481C" w:rsidRPr="001E1FD4" w:rsidRDefault="00CE481C" w:rsidP="00CE481C">
      <w:pPr>
        <w:spacing w:after="120"/>
        <w:rPr>
          <w:rFonts w:ascii="Garamond" w:hAnsi="Garamond"/>
          <w:sz w:val="22"/>
          <w:szCs w:val="22"/>
        </w:rPr>
      </w:pPr>
      <w:r w:rsidRPr="001E1FD4">
        <w:rPr>
          <w:rFonts w:ascii="Garamond" w:hAnsi="Garamond"/>
          <w:position w:val="-12"/>
          <w:sz w:val="22"/>
          <w:szCs w:val="22"/>
        </w:rPr>
        <w:object w:dxaOrig="260" w:dyaOrig="360">
          <v:shape id="_x0000_i1042" type="#_x0000_t75" style="width:13.75pt;height:18.15pt" o:ole="">
            <v:imagedata r:id="rId9" o:title=""/>
          </v:shape>
          <o:OLEObject Type="Embed" ProgID="Equation.DSMT4" ShapeID="_x0000_i1042" DrawAspect="Content" ObjectID="_1659362473" r:id="rId37"/>
        </w:object>
      </w:r>
      <w:r w:rsidRPr="001E1FD4">
        <w:rPr>
          <w:rFonts w:ascii="Garamond" w:hAnsi="Garamond"/>
          <w:sz w:val="22"/>
          <w:szCs w:val="22"/>
        </w:rPr>
        <w:t xml:space="preserve"> </w:t>
      </w:r>
      <w:r w:rsidR="001E1FD4">
        <w:rPr>
          <w:rFonts w:ascii="Garamond" w:hAnsi="Garamond"/>
          <w:sz w:val="22"/>
          <w:szCs w:val="22"/>
        </w:rPr>
        <w:t>–</w:t>
      </w:r>
      <w:r w:rsidRPr="001E1FD4">
        <w:rPr>
          <w:rFonts w:ascii="Garamond" w:hAnsi="Garamond"/>
          <w:sz w:val="22"/>
          <w:szCs w:val="22"/>
        </w:rPr>
        <w:t xml:space="preserve"> разница суммарных обязательств участников и суммарных требований участников, определенная в соответствии с разделом 8 настоящего </w:t>
      </w:r>
      <w:r w:rsidR="002A7C02" w:rsidRPr="001E1FD4">
        <w:rPr>
          <w:rFonts w:ascii="Garamond" w:hAnsi="Garamond"/>
          <w:sz w:val="22"/>
          <w:szCs w:val="22"/>
        </w:rPr>
        <w:t>Р</w:t>
      </w:r>
      <w:r w:rsidRPr="001E1FD4">
        <w:rPr>
          <w:rFonts w:ascii="Garamond" w:hAnsi="Garamond"/>
          <w:sz w:val="22"/>
          <w:szCs w:val="22"/>
        </w:rPr>
        <w:t>егламента</w:t>
      </w:r>
      <w:r w:rsidR="00656B32" w:rsidRPr="001E1FD4">
        <w:rPr>
          <w:rFonts w:ascii="Garamond" w:hAnsi="Garamond"/>
          <w:sz w:val="22"/>
          <w:szCs w:val="22"/>
        </w:rPr>
        <w:t xml:space="preserve"> (руб.)</w:t>
      </w:r>
      <w:r w:rsidRPr="001E1FD4">
        <w:rPr>
          <w:rFonts w:ascii="Garamond" w:hAnsi="Garamond"/>
          <w:sz w:val="22"/>
          <w:szCs w:val="22"/>
        </w:rPr>
        <w:t>;</w:t>
      </w:r>
    </w:p>
    <w:p w:rsidR="00CE481C" w:rsidRPr="001E1FD4" w:rsidRDefault="00CE481C" w:rsidP="00CE481C">
      <w:pPr>
        <w:spacing w:after="120"/>
        <w:rPr>
          <w:rFonts w:ascii="Garamond" w:hAnsi="Garamond"/>
          <w:sz w:val="22"/>
          <w:szCs w:val="22"/>
        </w:rPr>
      </w:pPr>
      <w:r w:rsidRPr="001E1FD4">
        <w:rPr>
          <w:rFonts w:ascii="Garamond" w:hAnsi="Garamond"/>
          <w:position w:val="-14"/>
          <w:sz w:val="22"/>
          <w:szCs w:val="22"/>
        </w:rPr>
        <w:object w:dxaOrig="520" w:dyaOrig="400">
          <v:shape id="_x0000_i1043" type="#_x0000_t75" style="width:26.3pt;height:20.65pt" o:ole="">
            <v:imagedata r:id="rId38" o:title=""/>
          </v:shape>
          <o:OLEObject Type="Embed" ProgID="Equation.3" ShapeID="_x0000_i1043" DrawAspect="Content" ObjectID="_1659362474" r:id="rId39"/>
        </w:object>
      </w:r>
      <w:r w:rsidRPr="001E1FD4">
        <w:rPr>
          <w:rFonts w:ascii="Garamond" w:hAnsi="Garamond"/>
          <w:sz w:val="22"/>
          <w:szCs w:val="22"/>
        </w:rPr>
        <w:t xml:space="preserve"> </w:t>
      </w:r>
      <w:r w:rsidR="001E1FD4">
        <w:rPr>
          <w:rFonts w:ascii="Garamond" w:hAnsi="Garamond"/>
          <w:sz w:val="22"/>
          <w:szCs w:val="22"/>
        </w:rPr>
        <w:t>–</w:t>
      </w:r>
      <w:r w:rsidRPr="001E1FD4">
        <w:rPr>
          <w:rFonts w:ascii="Garamond" w:hAnsi="Garamond"/>
          <w:sz w:val="22"/>
          <w:szCs w:val="22"/>
        </w:rPr>
        <w:t xml:space="preserve"> корректировка ГЭС, равная сумме по всем ГТП в ценовой зоне </w:t>
      </w:r>
      <w:proofErr w:type="gramStart"/>
      <w:r w:rsidRPr="001E1FD4">
        <w:rPr>
          <w:rFonts w:ascii="Garamond" w:hAnsi="Garamond"/>
          <w:sz w:val="22"/>
          <w:szCs w:val="22"/>
        </w:rPr>
        <w:t xml:space="preserve">величины </w:t>
      </w:r>
      <w:r w:rsidRPr="001E1FD4">
        <w:rPr>
          <w:rFonts w:ascii="Garamond" w:hAnsi="Garamond"/>
          <w:position w:val="-14"/>
          <w:sz w:val="22"/>
          <w:szCs w:val="22"/>
        </w:rPr>
        <w:object w:dxaOrig="540" w:dyaOrig="400">
          <v:shape id="_x0000_i1044" type="#_x0000_t75" style="width:25.65pt;height:19.4pt" o:ole="">
            <v:imagedata r:id="rId40" o:title=""/>
          </v:shape>
          <o:OLEObject Type="Embed" ProgID="Equation.3" ShapeID="_x0000_i1044" DrawAspect="Content" ObjectID="_1659362475" r:id="rId41"/>
        </w:object>
      </w:r>
      <w:r w:rsidRPr="001E1FD4">
        <w:rPr>
          <w:rFonts w:ascii="Garamond" w:hAnsi="Garamond"/>
          <w:sz w:val="22"/>
          <w:szCs w:val="22"/>
        </w:rPr>
        <w:t>,</w:t>
      </w:r>
      <w:proofErr w:type="gramEnd"/>
      <w:r w:rsidRPr="001E1FD4">
        <w:rPr>
          <w:rFonts w:ascii="Garamond" w:hAnsi="Garamond"/>
          <w:sz w:val="22"/>
          <w:szCs w:val="22"/>
        </w:rPr>
        <w:t xml:space="preserve"> определенной в соответствии с подпунктом 1 пункта 9.1 настоящего </w:t>
      </w:r>
      <w:r w:rsidR="002A7C02" w:rsidRPr="001E1FD4">
        <w:rPr>
          <w:rFonts w:ascii="Garamond" w:hAnsi="Garamond"/>
          <w:sz w:val="22"/>
          <w:szCs w:val="22"/>
        </w:rPr>
        <w:t>Р</w:t>
      </w:r>
      <w:r w:rsidRPr="001E1FD4">
        <w:rPr>
          <w:rFonts w:ascii="Garamond" w:hAnsi="Garamond"/>
          <w:sz w:val="22"/>
          <w:szCs w:val="22"/>
        </w:rPr>
        <w:t>егламента</w:t>
      </w:r>
      <w:r w:rsidR="00656B32" w:rsidRPr="001E1FD4">
        <w:rPr>
          <w:rFonts w:ascii="Garamond" w:hAnsi="Garamond"/>
          <w:sz w:val="22"/>
          <w:szCs w:val="22"/>
        </w:rPr>
        <w:t xml:space="preserve"> (руб.)</w:t>
      </w:r>
      <w:r w:rsidR="006D7098">
        <w:rPr>
          <w:rFonts w:ascii="Garamond" w:hAnsi="Garamond"/>
          <w:sz w:val="22"/>
          <w:szCs w:val="22"/>
        </w:rPr>
        <w:t>,</w:t>
      </w:r>
      <w:r w:rsidRPr="001E1FD4">
        <w:rPr>
          <w:rFonts w:ascii="Garamond" w:hAnsi="Garamond"/>
          <w:sz w:val="22"/>
          <w:szCs w:val="22"/>
        </w:rPr>
        <w:t xml:space="preserve"> </w:t>
      </w:r>
      <w:r w:rsidRPr="001E1FD4">
        <w:rPr>
          <w:rFonts w:ascii="Garamond" w:hAnsi="Garamond"/>
          <w:position w:val="-30"/>
          <w:sz w:val="22"/>
          <w:szCs w:val="22"/>
        </w:rPr>
        <w:object w:dxaOrig="1560" w:dyaOrig="560">
          <v:shape id="_x0000_i1045" type="#_x0000_t75" style="width:78.25pt;height:27.55pt" o:ole="">
            <v:imagedata r:id="rId42" o:title=""/>
          </v:shape>
          <o:OLEObject Type="Embed" ProgID="Equation.3" ShapeID="_x0000_i1045" DrawAspect="Content" ObjectID="_1659362476" r:id="rId43"/>
        </w:object>
      </w:r>
      <w:r w:rsidRPr="001E1FD4">
        <w:rPr>
          <w:rFonts w:ascii="Garamond" w:hAnsi="Garamond"/>
          <w:sz w:val="22"/>
          <w:szCs w:val="22"/>
        </w:rPr>
        <w:t>;</w:t>
      </w:r>
    </w:p>
    <w:p w:rsidR="002A7C02" w:rsidRPr="001E1FD4" w:rsidRDefault="002A7C02" w:rsidP="00CE481C">
      <w:pPr>
        <w:spacing w:after="120"/>
        <w:rPr>
          <w:rFonts w:ascii="Garamond" w:hAnsi="Garamond"/>
          <w:sz w:val="22"/>
          <w:szCs w:val="22"/>
        </w:rPr>
      </w:pPr>
      <w:r w:rsidRPr="001E1FD4">
        <w:rPr>
          <w:rFonts w:ascii="Garamond" w:hAnsi="Garamond"/>
          <w:position w:val="-14"/>
          <w:sz w:val="22"/>
          <w:szCs w:val="22"/>
        </w:rPr>
        <w:object w:dxaOrig="740" w:dyaOrig="400">
          <v:shape id="_x0000_i1046" type="#_x0000_t75" style="width:34.45pt;height:19.4pt" o:ole="">
            <v:imagedata r:id="rId13" o:title=""/>
          </v:shape>
          <o:OLEObject Type="Embed" ProgID="Equation.3" ShapeID="_x0000_i1046" DrawAspect="Content" ObjectID="_1659362477" r:id="rId44"/>
        </w:object>
      </w:r>
      <w:r w:rsidRPr="001E1FD4">
        <w:rPr>
          <w:rFonts w:ascii="Garamond" w:hAnsi="Garamond"/>
          <w:sz w:val="22"/>
          <w:szCs w:val="22"/>
        </w:rPr>
        <w:t xml:space="preserve"> </w:t>
      </w:r>
      <w:r w:rsidR="001072F0">
        <w:rPr>
          <w:rFonts w:ascii="Garamond" w:hAnsi="Garamond"/>
          <w:sz w:val="22"/>
          <w:szCs w:val="22"/>
        </w:rPr>
        <w:t>–</w:t>
      </w:r>
      <w:r w:rsidRPr="001E1FD4">
        <w:rPr>
          <w:rFonts w:ascii="Garamond" w:hAnsi="Garamond"/>
          <w:sz w:val="22"/>
          <w:szCs w:val="22"/>
        </w:rPr>
        <w:t xml:space="preserve"> величина разницы предварительных обязательств и требований, вызванная оплатой отклонений ИВО ГЭС, определенная в соответствии с подпунктом 2 пункта 9.1 настоящего Регламента</w:t>
      </w:r>
      <w:r w:rsidR="00656B32" w:rsidRPr="001E1FD4">
        <w:rPr>
          <w:rFonts w:ascii="Garamond" w:hAnsi="Garamond"/>
          <w:sz w:val="22"/>
          <w:szCs w:val="22"/>
        </w:rPr>
        <w:t xml:space="preserve"> (руб.)</w:t>
      </w:r>
      <w:r w:rsidRPr="001E1FD4">
        <w:rPr>
          <w:rFonts w:ascii="Garamond" w:hAnsi="Garamond"/>
          <w:sz w:val="22"/>
          <w:szCs w:val="22"/>
        </w:rPr>
        <w:t>;</w:t>
      </w:r>
    </w:p>
    <w:p w:rsidR="002A7C02" w:rsidRPr="001E1FD4" w:rsidRDefault="002A7C02" w:rsidP="00CE481C">
      <w:pPr>
        <w:spacing w:after="120"/>
        <w:rPr>
          <w:rFonts w:ascii="Garamond" w:hAnsi="Garamond"/>
          <w:sz w:val="22"/>
          <w:szCs w:val="22"/>
        </w:rPr>
      </w:pPr>
      <w:r w:rsidRPr="001E1FD4">
        <w:rPr>
          <w:rFonts w:ascii="Garamond" w:hAnsi="Garamond"/>
          <w:position w:val="-14"/>
          <w:sz w:val="22"/>
          <w:szCs w:val="22"/>
        </w:rPr>
        <w:object w:dxaOrig="480" w:dyaOrig="400">
          <v:shape id="_x0000_i1047" type="#_x0000_t75" style="width:22.55pt;height:19.4pt" o:ole="">
            <v:imagedata r:id="rId15" o:title=""/>
          </v:shape>
          <o:OLEObject Type="Embed" ProgID="Equation.3" ShapeID="_x0000_i1047" DrawAspect="Content" ObjectID="_1659362478" r:id="rId45"/>
        </w:object>
      </w:r>
      <w:r w:rsidRPr="001E1FD4">
        <w:rPr>
          <w:rFonts w:ascii="Garamond" w:hAnsi="Garamond"/>
          <w:sz w:val="22"/>
          <w:szCs w:val="22"/>
        </w:rPr>
        <w:t xml:space="preserve"> </w:t>
      </w:r>
      <w:r w:rsidR="001072F0">
        <w:rPr>
          <w:rFonts w:ascii="Garamond" w:hAnsi="Garamond"/>
          <w:sz w:val="22"/>
          <w:szCs w:val="22"/>
        </w:rPr>
        <w:t>–</w:t>
      </w:r>
      <w:r w:rsidRPr="001E1FD4">
        <w:rPr>
          <w:rFonts w:ascii="Garamond" w:hAnsi="Garamond"/>
          <w:sz w:val="22"/>
          <w:szCs w:val="22"/>
        </w:rPr>
        <w:t xml:space="preserve"> величина разницы предварительных обязательств и требований, вызванная оплатой отклонений мобильных (передвижных) генерирующих объектов, определенная в соответствии с подпунктом 3 пункта 9.1 настоящего Регламента</w:t>
      </w:r>
      <w:r w:rsidR="00656B32" w:rsidRPr="001E1FD4">
        <w:rPr>
          <w:rFonts w:ascii="Garamond" w:hAnsi="Garamond"/>
          <w:sz w:val="22"/>
          <w:szCs w:val="22"/>
        </w:rPr>
        <w:t xml:space="preserve"> (руб.)</w:t>
      </w:r>
      <w:r w:rsidRPr="001E1FD4">
        <w:rPr>
          <w:rFonts w:ascii="Garamond" w:hAnsi="Garamond"/>
          <w:sz w:val="22"/>
          <w:szCs w:val="22"/>
        </w:rPr>
        <w:t>;</w:t>
      </w:r>
    </w:p>
    <w:p w:rsidR="002A7C02" w:rsidRPr="001E1FD4" w:rsidRDefault="002A7C02" w:rsidP="00CE481C">
      <w:pPr>
        <w:spacing w:after="120"/>
        <w:rPr>
          <w:rFonts w:ascii="Garamond" w:hAnsi="Garamond"/>
          <w:sz w:val="22"/>
          <w:szCs w:val="22"/>
        </w:rPr>
      </w:pPr>
      <w:r w:rsidRPr="001E1FD4">
        <w:rPr>
          <w:rFonts w:ascii="Garamond" w:hAnsi="Garamond"/>
          <w:position w:val="-14"/>
          <w:sz w:val="22"/>
          <w:szCs w:val="22"/>
        </w:rPr>
        <w:object w:dxaOrig="440" w:dyaOrig="400">
          <v:shape id="_x0000_i1048" type="#_x0000_t75" style="width:21.3pt;height:19.4pt" o:ole="">
            <v:imagedata r:id="rId17" o:title=""/>
          </v:shape>
          <o:OLEObject Type="Embed" ProgID="Equation.3" ShapeID="_x0000_i1048" DrawAspect="Content" ObjectID="_1659362479" r:id="rId46"/>
        </w:object>
      </w:r>
      <w:r w:rsidRPr="001E1FD4">
        <w:rPr>
          <w:rFonts w:ascii="Garamond" w:hAnsi="Garamond"/>
          <w:sz w:val="22"/>
          <w:szCs w:val="22"/>
        </w:rPr>
        <w:t xml:space="preserve"> </w:t>
      </w:r>
      <w:r w:rsidR="001072F0">
        <w:rPr>
          <w:rFonts w:ascii="Garamond" w:hAnsi="Garamond"/>
          <w:sz w:val="22"/>
          <w:szCs w:val="22"/>
        </w:rPr>
        <w:t>–</w:t>
      </w:r>
      <w:r w:rsidRPr="001E1FD4">
        <w:rPr>
          <w:rFonts w:ascii="Garamond" w:hAnsi="Garamond"/>
          <w:sz w:val="22"/>
          <w:szCs w:val="22"/>
        </w:rPr>
        <w:t xml:space="preserve"> суммарная стоимость регулировочной инициативы, определенная в соответствии с подпунктом 4 пункта 9.1 настоящего Регламента</w:t>
      </w:r>
      <w:r w:rsidR="00656B32" w:rsidRPr="001E1FD4">
        <w:rPr>
          <w:rFonts w:ascii="Garamond" w:hAnsi="Garamond"/>
          <w:sz w:val="22"/>
          <w:szCs w:val="22"/>
        </w:rPr>
        <w:t xml:space="preserve"> (руб.)</w:t>
      </w:r>
      <w:r w:rsidRPr="001E1FD4">
        <w:rPr>
          <w:rFonts w:ascii="Garamond" w:hAnsi="Garamond"/>
          <w:sz w:val="22"/>
          <w:szCs w:val="22"/>
        </w:rPr>
        <w:t>;</w:t>
      </w:r>
    </w:p>
    <w:p w:rsidR="002A7C02" w:rsidRPr="001E1FD4" w:rsidRDefault="002A7C02" w:rsidP="00CE481C">
      <w:pPr>
        <w:spacing w:after="120"/>
        <w:rPr>
          <w:rFonts w:ascii="Garamond" w:hAnsi="Garamond"/>
          <w:sz w:val="22"/>
          <w:szCs w:val="22"/>
        </w:rPr>
      </w:pPr>
      <w:r w:rsidRPr="001E1FD4">
        <w:rPr>
          <w:rFonts w:ascii="Garamond" w:hAnsi="Garamond"/>
          <w:position w:val="-14"/>
          <w:sz w:val="22"/>
          <w:szCs w:val="22"/>
        </w:rPr>
        <w:object w:dxaOrig="480" w:dyaOrig="400">
          <v:shape id="_x0000_i1049" type="#_x0000_t75" style="width:22.55pt;height:19.4pt" o:ole="">
            <v:imagedata r:id="rId19" o:title=""/>
          </v:shape>
          <o:OLEObject Type="Embed" ProgID="Equation.3" ShapeID="_x0000_i1049" DrawAspect="Content" ObjectID="_1659362480" r:id="rId47"/>
        </w:object>
      </w:r>
      <w:r w:rsidRPr="001E1FD4">
        <w:rPr>
          <w:rFonts w:ascii="Garamond" w:hAnsi="Garamond"/>
          <w:sz w:val="22"/>
          <w:szCs w:val="22"/>
        </w:rPr>
        <w:t xml:space="preserve"> </w:t>
      </w:r>
      <w:r w:rsidR="001072F0">
        <w:rPr>
          <w:rFonts w:ascii="Garamond" w:hAnsi="Garamond"/>
          <w:sz w:val="22"/>
          <w:szCs w:val="22"/>
        </w:rPr>
        <w:t>–</w:t>
      </w:r>
      <w:r w:rsidRPr="001E1FD4">
        <w:rPr>
          <w:rFonts w:ascii="Garamond" w:hAnsi="Garamond"/>
          <w:sz w:val="22"/>
          <w:szCs w:val="22"/>
        </w:rPr>
        <w:t xml:space="preserve"> величина прочих (общих) составляющих небаланса, определенная в соответствии с подпунктом 5 пункта 9.1 настоящего Регламента</w:t>
      </w:r>
      <w:r w:rsidR="00656B32" w:rsidRPr="001E1FD4">
        <w:rPr>
          <w:rFonts w:ascii="Garamond" w:hAnsi="Garamond"/>
          <w:sz w:val="22"/>
          <w:szCs w:val="22"/>
        </w:rPr>
        <w:t xml:space="preserve"> (руб.)</w:t>
      </w:r>
      <w:r w:rsidRPr="001E1FD4">
        <w:rPr>
          <w:rFonts w:ascii="Garamond" w:hAnsi="Garamond"/>
          <w:sz w:val="22"/>
          <w:szCs w:val="22"/>
        </w:rPr>
        <w:t xml:space="preserve">;   </w:t>
      </w:r>
    </w:p>
    <w:p w:rsidR="00656B32" w:rsidRPr="001E1FD4" w:rsidRDefault="00656B32" w:rsidP="00CE481C">
      <w:pPr>
        <w:spacing w:after="120"/>
        <w:rPr>
          <w:rFonts w:ascii="Garamond" w:hAnsi="Garamond"/>
          <w:sz w:val="22"/>
          <w:szCs w:val="22"/>
        </w:rPr>
      </w:pPr>
      <w:r w:rsidRPr="001E1FD4">
        <w:rPr>
          <w:rFonts w:ascii="Garamond" w:hAnsi="Garamond"/>
          <w:position w:val="-14"/>
          <w:sz w:val="22"/>
          <w:szCs w:val="22"/>
        </w:rPr>
        <w:object w:dxaOrig="900" w:dyaOrig="400">
          <v:shape id="_x0000_i1050" type="#_x0000_t75" style="width:45.1pt;height:20.65pt" o:ole="">
            <v:imagedata r:id="rId21" o:title=""/>
          </v:shape>
          <o:OLEObject Type="Embed" ProgID="Equation.3" ShapeID="_x0000_i1050" DrawAspect="Content" ObjectID="_1659362481" r:id="rId48"/>
        </w:object>
      </w:r>
      <w:r w:rsidRPr="001E1FD4">
        <w:rPr>
          <w:rFonts w:ascii="Garamond" w:hAnsi="Garamond"/>
          <w:sz w:val="22"/>
          <w:szCs w:val="22"/>
        </w:rPr>
        <w:t xml:space="preserve"> </w:t>
      </w:r>
      <w:r w:rsidR="001072F0">
        <w:rPr>
          <w:rFonts w:ascii="Garamond" w:hAnsi="Garamond"/>
          <w:sz w:val="22"/>
          <w:szCs w:val="22"/>
        </w:rPr>
        <w:t>–</w:t>
      </w:r>
      <w:r w:rsidRPr="001E1FD4">
        <w:rPr>
          <w:rFonts w:ascii="Garamond" w:hAnsi="Garamond"/>
          <w:sz w:val="22"/>
          <w:szCs w:val="22"/>
        </w:rPr>
        <w:t xml:space="preserve"> </w:t>
      </w:r>
      <w:r w:rsidR="00342EB3" w:rsidRPr="001E1FD4">
        <w:rPr>
          <w:rFonts w:ascii="Garamond" w:hAnsi="Garamond"/>
          <w:sz w:val="22"/>
          <w:szCs w:val="22"/>
        </w:rPr>
        <w:t>совокупный объем составляющих величин отклонений по собственной инициативе в данной ценовой зоне</w:t>
      </w:r>
      <w:r w:rsidRPr="001E1FD4">
        <w:rPr>
          <w:rFonts w:ascii="Garamond" w:hAnsi="Garamond"/>
          <w:sz w:val="22"/>
          <w:szCs w:val="22"/>
        </w:rPr>
        <w:t xml:space="preserve">, определенный как знаменатель </w:t>
      </w:r>
      <w:proofErr w:type="gramStart"/>
      <w:r w:rsidRPr="001E1FD4">
        <w:rPr>
          <w:rFonts w:ascii="Garamond" w:hAnsi="Garamond"/>
          <w:sz w:val="22"/>
          <w:szCs w:val="22"/>
        </w:rPr>
        <w:t xml:space="preserve">доли </w:t>
      </w:r>
      <w:r w:rsidRPr="001E1FD4">
        <w:rPr>
          <w:rFonts w:ascii="Garamond" w:hAnsi="Garamond"/>
          <w:position w:val="-14"/>
          <w:sz w:val="22"/>
          <w:szCs w:val="22"/>
        </w:rPr>
        <w:object w:dxaOrig="720" w:dyaOrig="400">
          <v:shape id="_x0000_i1051" type="#_x0000_t75" style="width:36.3pt;height:20.65pt" o:ole="">
            <v:imagedata r:id="rId49" o:title=""/>
          </v:shape>
          <o:OLEObject Type="Embed" ProgID="Equation.3" ShapeID="_x0000_i1051" DrawAspect="Content" ObjectID="_1659362482" r:id="rId50"/>
        </w:object>
      </w:r>
      <w:r w:rsidRPr="001E1FD4">
        <w:rPr>
          <w:rFonts w:ascii="Garamond" w:hAnsi="Garamond"/>
          <w:sz w:val="22"/>
          <w:szCs w:val="22"/>
        </w:rPr>
        <w:t>,</w:t>
      </w:r>
      <w:proofErr w:type="gramEnd"/>
      <w:r w:rsidRPr="001E1FD4">
        <w:rPr>
          <w:rFonts w:ascii="Garamond" w:hAnsi="Garamond"/>
          <w:sz w:val="22"/>
          <w:szCs w:val="22"/>
        </w:rPr>
        <w:t xml:space="preserve"> рассчитанной в соответствии с пунктом 9.1 настоящего Регламента (</w:t>
      </w:r>
      <w:proofErr w:type="spellStart"/>
      <w:r w:rsidRPr="001E1FD4">
        <w:rPr>
          <w:rFonts w:ascii="Garamond" w:hAnsi="Garamond"/>
          <w:sz w:val="22"/>
          <w:szCs w:val="22"/>
        </w:rPr>
        <w:t>кВт</w:t>
      </w:r>
      <w:r w:rsidR="001E1FD4">
        <w:rPr>
          <w:rFonts w:ascii="Calibri" w:hAnsi="Calibri"/>
          <w:sz w:val="22"/>
          <w:szCs w:val="22"/>
        </w:rPr>
        <w:t>·</w:t>
      </w:r>
      <w:r w:rsidRPr="001E1FD4">
        <w:rPr>
          <w:rFonts w:ascii="Garamond" w:hAnsi="Garamond"/>
          <w:sz w:val="22"/>
          <w:szCs w:val="22"/>
        </w:rPr>
        <w:t>ч</w:t>
      </w:r>
      <w:proofErr w:type="spellEnd"/>
      <w:r w:rsidRPr="001E1FD4">
        <w:rPr>
          <w:rFonts w:ascii="Garamond" w:hAnsi="Garamond"/>
          <w:sz w:val="22"/>
          <w:szCs w:val="22"/>
        </w:rPr>
        <w:t>)</w:t>
      </w:r>
    </w:p>
    <w:p w:rsidR="00656B32" w:rsidRPr="001E1FD4" w:rsidRDefault="00656B32" w:rsidP="00CE481C">
      <w:pPr>
        <w:spacing w:after="120"/>
        <w:rPr>
          <w:rFonts w:ascii="Garamond" w:hAnsi="Garamond"/>
          <w:sz w:val="22"/>
          <w:szCs w:val="22"/>
        </w:rPr>
      </w:pPr>
      <w:r w:rsidRPr="001E1FD4">
        <w:rPr>
          <w:rFonts w:ascii="Garamond" w:hAnsi="Garamond"/>
          <w:position w:val="-54"/>
          <w:sz w:val="22"/>
          <w:szCs w:val="22"/>
        </w:rPr>
        <w:object w:dxaOrig="10100" w:dyaOrig="1200">
          <v:shape id="_x0000_i1052" type="#_x0000_t75" style="width:505.25pt;height:60.1pt" o:ole="">
            <v:imagedata r:id="rId51" o:title=""/>
          </v:shape>
          <o:OLEObject Type="Embed" ProgID="Equation.3" ShapeID="_x0000_i1052" DrawAspect="Content" ObjectID="_1659362483" r:id="rId52"/>
        </w:object>
      </w:r>
      <w:r w:rsidRPr="001E1FD4">
        <w:rPr>
          <w:rFonts w:ascii="Garamond" w:hAnsi="Garamond"/>
          <w:sz w:val="22"/>
          <w:szCs w:val="22"/>
        </w:rPr>
        <w:t>;</w:t>
      </w:r>
    </w:p>
    <w:p w:rsidR="00656B32" w:rsidRPr="001E1FD4" w:rsidRDefault="00656B32" w:rsidP="00656B32">
      <w:pPr>
        <w:spacing w:after="120"/>
        <w:rPr>
          <w:rFonts w:ascii="Garamond" w:hAnsi="Garamond"/>
          <w:sz w:val="22"/>
          <w:szCs w:val="22"/>
        </w:rPr>
      </w:pPr>
      <w:r w:rsidRPr="001E1FD4">
        <w:rPr>
          <w:rFonts w:ascii="Garamond" w:hAnsi="Garamond"/>
          <w:position w:val="-14"/>
          <w:sz w:val="22"/>
          <w:szCs w:val="22"/>
        </w:rPr>
        <w:object w:dxaOrig="1219" w:dyaOrig="400">
          <v:shape id="_x0000_i1053" type="#_x0000_t75" style="width:61.35pt;height:20.65pt" o:ole="">
            <v:imagedata r:id="rId23" o:title=""/>
          </v:shape>
          <o:OLEObject Type="Embed" ProgID="Equation.3" ShapeID="_x0000_i1053" DrawAspect="Content" ObjectID="_1659362484" r:id="rId53"/>
        </w:object>
      </w:r>
      <w:r w:rsidRPr="001E1FD4">
        <w:rPr>
          <w:rFonts w:ascii="Garamond" w:hAnsi="Garamond"/>
          <w:sz w:val="22"/>
          <w:szCs w:val="22"/>
        </w:rPr>
        <w:t xml:space="preserve"> </w:t>
      </w:r>
      <w:r w:rsidR="001072F0">
        <w:rPr>
          <w:rFonts w:ascii="Garamond" w:hAnsi="Garamond"/>
          <w:sz w:val="22"/>
          <w:szCs w:val="22"/>
        </w:rPr>
        <w:t>–</w:t>
      </w:r>
      <w:r w:rsidRPr="001E1FD4">
        <w:rPr>
          <w:rFonts w:ascii="Garamond" w:hAnsi="Garamond"/>
          <w:sz w:val="22"/>
          <w:szCs w:val="22"/>
        </w:rPr>
        <w:t xml:space="preserve"> </w:t>
      </w:r>
      <w:r w:rsidR="00342EB3" w:rsidRPr="001E1FD4">
        <w:rPr>
          <w:rFonts w:ascii="Garamond" w:hAnsi="Garamond"/>
          <w:sz w:val="22"/>
          <w:szCs w:val="22"/>
        </w:rPr>
        <w:t>с</w:t>
      </w:r>
      <w:r w:rsidRPr="001E1FD4">
        <w:rPr>
          <w:rFonts w:ascii="Garamond" w:hAnsi="Garamond"/>
          <w:sz w:val="22"/>
          <w:szCs w:val="22"/>
        </w:rPr>
        <w:t>овокупный объем составляющих величин отклонений по собственной инициативе</w:t>
      </w:r>
      <w:r w:rsidR="00342EB3" w:rsidRPr="001E1FD4">
        <w:rPr>
          <w:rFonts w:ascii="Garamond" w:hAnsi="Garamond"/>
          <w:sz w:val="22"/>
          <w:szCs w:val="22"/>
        </w:rPr>
        <w:t xml:space="preserve"> </w:t>
      </w:r>
      <w:r w:rsidRPr="001E1FD4">
        <w:rPr>
          <w:rFonts w:ascii="Garamond" w:hAnsi="Garamond"/>
          <w:sz w:val="22"/>
          <w:szCs w:val="22"/>
        </w:rPr>
        <w:t xml:space="preserve">в данной ценовой </w:t>
      </w:r>
      <w:proofErr w:type="gramStart"/>
      <w:r w:rsidRPr="001E1FD4">
        <w:rPr>
          <w:rFonts w:ascii="Garamond" w:hAnsi="Garamond"/>
          <w:sz w:val="22"/>
          <w:szCs w:val="22"/>
        </w:rPr>
        <w:t>зоне</w:t>
      </w:r>
      <w:r w:rsidR="00342EB3" w:rsidRPr="001E1FD4">
        <w:rPr>
          <w:rFonts w:ascii="Garamond" w:hAnsi="Garamond"/>
          <w:sz w:val="22"/>
          <w:szCs w:val="22"/>
        </w:rPr>
        <w:t xml:space="preserve"> </w:t>
      </w:r>
      <w:r w:rsidR="00342EB3" w:rsidRPr="001E1FD4">
        <w:rPr>
          <w:rFonts w:ascii="Garamond" w:hAnsi="Garamond"/>
          <w:position w:val="-14"/>
          <w:sz w:val="22"/>
          <w:szCs w:val="22"/>
        </w:rPr>
        <w:object w:dxaOrig="900" w:dyaOrig="400">
          <v:shape id="_x0000_i1054" type="#_x0000_t75" style="width:45.1pt;height:20.65pt" o:ole="">
            <v:imagedata r:id="rId21" o:title=""/>
          </v:shape>
          <o:OLEObject Type="Embed" ProgID="Equation.3" ShapeID="_x0000_i1054" DrawAspect="Content" ObjectID="_1659362485" r:id="rId54"/>
        </w:object>
      </w:r>
      <w:r w:rsidRPr="001E1FD4">
        <w:rPr>
          <w:rFonts w:ascii="Garamond" w:hAnsi="Garamond"/>
          <w:sz w:val="22"/>
          <w:szCs w:val="22"/>
        </w:rPr>
        <w:t>,</w:t>
      </w:r>
      <w:proofErr w:type="gramEnd"/>
      <w:r w:rsidR="00342EB3" w:rsidRPr="001E1FD4">
        <w:rPr>
          <w:rFonts w:ascii="Garamond" w:hAnsi="Garamond"/>
          <w:sz w:val="22"/>
          <w:szCs w:val="22"/>
        </w:rPr>
        <w:t xml:space="preserve"> </w:t>
      </w:r>
      <w:r w:rsidRPr="001E1FD4">
        <w:rPr>
          <w:rFonts w:ascii="Garamond" w:hAnsi="Garamond"/>
          <w:sz w:val="22"/>
          <w:szCs w:val="22"/>
        </w:rPr>
        <w:t xml:space="preserve">определенный </w:t>
      </w:r>
      <w:r w:rsidR="00342EB3" w:rsidRPr="001E1FD4">
        <w:rPr>
          <w:rFonts w:ascii="Garamond" w:hAnsi="Garamond"/>
          <w:sz w:val="22"/>
          <w:szCs w:val="22"/>
        </w:rPr>
        <w:t>для множества ГТП потребления и ГТП экспорта</w:t>
      </w:r>
      <w:r w:rsidR="00A35BFB" w:rsidRPr="001E1FD4">
        <w:rPr>
          <w:rFonts w:ascii="Garamond" w:hAnsi="Garamond"/>
          <w:sz w:val="22"/>
          <w:szCs w:val="22"/>
        </w:rPr>
        <w:t xml:space="preserve"> (</w:t>
      </w:r>
      <w:proofErr w:type="spellStart"/>
      <w:r w:rsidR="00A35BFB" w:rsidRPr="001E1FD4">
        <w:rPr>
          <w:rFonts w:ascii="Garamond" w:hAnsi="Garamond"/>
          <w:sz w:val="22"/>
          <w:szCs w:val="22"/>
        </w:rPr>
        <w:t>кВт</w:t>
      </w:r>
      <w:r w:rsidR="001E1FD4">
        <w:rPr>
          <w:rFonts w:ascii="Calibri" w:hAnsi="Calibri"/>
          <w:sz w:val="22"/>
          <w:szCs w:val="22"/>
        </w:rPr>
        <w:t>·</w:t>
      </w:r>
      <w:r w:rsidR="00A35BFB" w:rsidRPr="001E1FD4">
        <w:rPr>
          <w:rFonts w:ascii="Garamond" w:hAnsi="Garamond"/>
          <w:sz w:val="22"/>
          <w:szCs w:val="22"/>
        </w:rPr>
        <w:t>ч</w:t>
      </w:r>
      <w:proofErr w:type="spellEnd"/>
      <w:r w:rsidR="00A35BFB" w:rsidRPr="001E1FD4">
        <w:rPr>
          <w:rFonts w:ascii="Garamond" w:hAnsi="Garamond"/>
          <w:sz w:val="22"/>
          <w:szCs w:val="22"/>
        </w:rPr>
        <w:t>)</w:t>
      </w:r>
      <w:r w:rsidR="00342EB3" w:rsidRPr="001E1FD4">
        <w:rPr>
          <w:rFonts w:ascii="Garamond" w:hAnsi="Garamond"/>
          <w:sz w:val="22"/>
          <w:szCs w:val="22"/>
        </w:rPr>
        <w:t>;</w:t>
      </w:r>
    </w:p>
    <w:p w:rsidR="00342EB3" w:rsidRPr="001E1FD4" w:rsidRDefault="00A35BFB" w:rsidP="00656B32">
      <w:pPr>
        <w:spacing w:after="120"/>
        <w:rPr>
          <w:rFonts w:ascii="Garamond" w:hAnsi="Garamond"/>
          <w:sz w:val="22"/>
          <w:szCs w:val="22"/>
        </w:rPr>
      </w:pPr>
      <w:r w:rsidRPr="001E1FD4">
        <w:rPr>
          <w:rFonts w:ascii="Garamond" w:hAnsi="Garamond"/>
          <w:position w:val="-14"/>
          <w:sz w:val="22"/>
          <w:szCs w:val="22"/>
        </w:rPr>
        <w:object w:dxaOrig="880" w:dyaOrig="400">
          <v:shape id="_x0000_i1055" type="#_x0000_t75" style="width:44.45pt;height:20.65pt" o:ole="">
            <v:imagedata r:id="rId55" o:title=""/>
          </v:shape>
          <o:OLEObject Type="Embed" ProgID="Equation.3" ShapeID="_x0000_i1055" DrawAspect="Content" ObjectID="_1659362486" r:id="rId56"/>
        </w:object>
      </w:r>
      <w:r w:rsidRPr="001E1FD4">
        <w:rPr>
          <w:rFonts w:ascii="Garamond" w:hAnsi="Garamond"/>
          <w:sz w:val="22"/>
          <w:szCs w:val="22"/>
        </w:rPr>
        <w:t xml:space="preserve"> </w:t>
      </w:r>
      <w:r w:rsidR="001072F0">
        <w:rPr>
          <w:rFonts w:ascii="Garamond" w:hAnsi="Garamond"/>
          <w:sz w:val="22"/>
          <w:szCs w:val="22"/>
        </w:rPr>
        <w:t>–</w:t>
      </w:r>
      <w:r w:rsidRPr="001E1FD4">
        <w:rPr>
          <w:rFonts w:ascii="Garamond" w:hAnsi="Garamond"/>
          <w:sz w:val="22"/>
          <w:szCs w:val="22"/>
        </w:rPr>
        <w:t xml:space="preserve"> </w:t>
      </w:r>
      <w:r w:rsidR="001072F0">
        <w:rPr>
          <w:rFonts w:ascii="Garamond" w:hAnsi="Garamond"/>
          <w:sz w:val="22"/>
          <w:szCs w:val="22"/>
        </w:rPr>
        <w:t>с</w:t>
      </w:r>
      <w:r w:rsidR="00342EB3" w:rsidRPr="001E1FD4">
        <w:rPr>
          <w:rFonts w:ascii="Garamond" w:hAnsi="Garamond"/>
          <w:sz w:val="22"/>
          <w:szCs w:val="22"/>
        </w:rPr>
        <w:t xml:space="preserve">овокупный объем составляющих величин отклонений по собственной инициативе в данной ценовой зоне для ГТП </w:t>
      </w:r>
      <w:r w:rsidRPr="001E1FD4">
        <w:rPr>
          <w:rFonts w:ascii="Garamond" w:hAnsi="Garamond"/>
          <w:sz w:val="22"/>
          <w:szCs w:val="22"/>
        </w:rPr>
        <w:t>потребления с</w:t>
      </w:r>
      <w:r w:rsidR="001E1FD4">
        <w:rPr>
          <w:rFonts w:ascii="Garamond" w:hAnsi="Garamond"/>
          <w:sz w:val="22"/>
          <w:szCs w:val="22"/>
        </w:rPr>
        <w:t xml:space="preserve"> учетом отнесения/</w:t>
      </w:r>
      <w:proofErr w:type="spellStart"/>
      <w:r w:rsidR="001E1FD4">
        <w:rPr>
          <w:rFonts w:ascii="Garamond" w:hAnsi="Garamond"/>
          <w:sz w:val="22"/>
          <w:szCs w:val="22"/>
        </w:rPr>
        <w:t>не</w:t>
      </w:r>
      <w:r w:rsidR="00342EB3" w:rsidRPr="001E1FD4">
        <w:rPr>
          <w:rFonts w:ascii="Garamond" w:hAnsi="Garamond"/>
          <w:sz w:val="22"/>
          <w:szCs w:val="22"/>
        </w:rPr>
        <w:t>отнесения</w:t>
      </w:r>
      <w:proofErr w:type="spellEnd"/>
      <w:r w:rsidR="00342EB3" w:rsidRPr="001E1FD4">
        <w:rPr>
          <w:rFonts w:ascii="Garamond" w:hAnsi="Garamond"/>
          <w:sz w:val="22"/>
          <w:szCs w:val="22"/>
        </w:rPr>
        <w:t xml:space="preserve"> к ГТП гарантирующих поставщиков</w:t>
      </w:r>
      <w:r w:rsidRPr="001E1FD4">
        <w:rPr>
          <w:rFonts w:ascii="Garamond" w:hAnsi="Garamond"/>
          <w:sz w:val="22"/>
          <w:szCs w:val="22"/>
        </w:rPr>
        <w:t xml:space="preserve">, определенный как знаменатель </w:t>
      </w:r>
      <w:proofErr w:type="gramStart"/>
      <w:r w:rsidRPr="001E1FD4">
        <w:rPr>
          <w:rFonts w:ascii="Garamond" w:hAnsi="Garamond"/>
          <w:sz w:val="22"/>
          <w:szCs w:val="22"/>
        </w:rPr>
        <w:t xml:space="preserve">доли </w:t>
      </w:r>
      <w:r w:rsidR="00BA69F3" w:rsidRPr="001E1FD4">
        <w:rPr>
          <w:rFonts w:ascii="Garamond" w:hAnsi="Garamond"/>
          <w:position w:val="-14"/>
          <w:sz w:val="22"/>
          <w:szCs w:val="22"/>
        </w:rPr>
        <w:object w:dxaOrig="1560" w:dyaOrig="400">
          <v:shape id="_x0000_i1056" type="#_x0000_t75" style="width:80.75pt;height:21.9pt" o:ole="">
            <v:imagedata r:id="rId57" o:title=""/>
          </v:shape>
          <o:OLEObject Type="Embed" ProgID="Equation.DSMT4" ShapeID="_x0000_i1056" DrawAspect="Content" ObjectID="_1659362487" r:id="rId58"/>
        </w:object>
      </w:r>
      <w:r w:rsidRPr="001E1FD4">
        <w:rPr>
          <w:rFonts w:ascii="Garamond" w:hAnsi="Garamond"/>
          <w:sz w:val="22"/>
          <w:szCs w:val="22"/>
        </w:rPr>
        <w:t>,</w:t>
      </w:r>
      <w:proofErr w:type="gramEnd"/>
      <w:r w:rsidRPr="001E1FD4">
        <w:rPr>
          <w:rFonts w:ascii="Garamond" w:hAnsi="Garamond"/>
          <w:sz w:val="22"/>
          <w:szCs w:val="22"/>
        </w:rPr>
        <w:t xml:space="preserve"> рассчитанной в соответствии с пунктом 9.1 настоящего Регламента (</w:t>
      </w:r>
      <w:proofErr w:type="spellStart"/>
      <w:r w:rsidRPr="001E1FD4">
        <w:rPr>
          <w:rFonts w:ascii="Garamond" w:hAnsi="Garamond"/>
          <w:sz w:val="22"/>
          <w:szCs w:val="22"/>
        </w:rPr>
        <w:t>кВт</w:t>
      </w:r>
      <w:r w:rsidR="001E1FD4">
        <w:rPr>
          <w:rFonts w:ascii="Calibri" w:hAnsi="Calibri"/>
          <w:sz w:val="22"/>
          <w:szCs w:val="22"/>
        </w:rPr>
        <w:t>·</w:t>
      </w:r>
      <w:r w:rsidRPr="001E1FD4">
        <w:rPr>
          <w:rFonts w:ascii="Garamond" w:hAnsi="Garamond"/>
          <w:sz w:val="22"/>
          <w:szCs w:val="22"/>
        </w:rPr>
        <w:t>ч</w:t>
      </w:r>
      <w:proofErr w:type="spellEnd"/>
      <w:r w:rsidRPr="001E1FD4">
        <w:rPr>
          <w:rFonts w:ascii="Garamond" w:hAnsi="Garamond"/>
          <w:sz w:val="22"/>
          <w:szCs w:val="22"/>
        </w:rPr>
        <w:t>)</w:t>
      </w:r>
    </w:p>
    <w:p w:rsidR="00A35BFB" w:rsidRPr="001E1FD4" w:rsidRDefault="00A35BFB" w:rsidP="00656B32">
      <w:pPr>
        <w:spacing w:after="120"/>
        <w:rPr>
          <w:rFonts w:ascii="Garamond" w:hAnsi="Garamond"/>
          <w:sz w:val="22"/>
          <w:szCs w:val="22"/>
        </w:rPr>
      </w:pPr>
      <w:r w:rsidRPr="001E1FD4">
        <w:rPr>
          <w:rFonts w:ascii="Garamond" w:hAnsi="Garamond"/>
          <w:position w:val="-34"/>
          <w:sz w:val="22"/>
          <w:szCs w:val="22"/>
        </w:rPr>
        <w:object w:dxaOrig="5160" w:dyaOrig="800">
          <v:shape id="_x0000_i1057" type="#_x0000_t75" style="width:257.95pt;height:40.05pt" o:ole="">
            <v:imagedata r:id="rId59" o:title=""/>
          </v:shape>
          <o:OLEObject Type="Embed" ProgID="Equation.3" ShapeID="_x0000_i1057" DrawAspect="Content" ObjectID="_1659362488" r:id="rId60"/>
        </w:object>
      </w:r>
      <w:r w:rsidRPr="001E1FD4">
        <w:rPr>
          <w:rFonts w:ascii="Garamond" w:hAnsi="Garamond"/>
          <w:sz w:val="22"/>
          <w:szCs w:val="22"/>
        </w:rPr>
        <w:t>;</w:t>
      </w:r>
    </w:p>
    <w:p w:rsidR="00A35BFB" w:rsidRPr="001E1FD4" w:rsidRDefault="0014132E" w:rsidP="00656B32">
      <w:pPr>
        <w:spacing w:after="120"/>
        <w:rPr>
          <w:rFonts w:ascii="Garamond" w:hAnsi="Garamond"/>
          <w:sz w:val="22"/>
          <w:szCs w:val="22"/>
        </w:rPr>
      </w:pPr>
      <w:r w:rsidRPr="001E1FD4">
        <w:rPr>
          <w:rFonts w:ascii="Garamond" w:hAnsi="Garamond"/>
          <w:position w:val="-6"/>
          <w:sz w:val="22"/>
          <w:szCs w:val="22"/>
        </w:rPr>
        <w:object w:dxaOrig="279" w:dyaOrig="320">
          <v:shape id="_x0000_i1058" type="#_x0000_t75" style="width:14.4pt;height:15.65pt" o:ole="">
            <v:imagedata r:id="rId27" o:title=""/>
          </v:shape>
          <o:OLEObject Type="Embed" ProgID="Equation.3" ShapeID="_x0000_i1058" DrawAspect="Content" ObjectID="_1659362489" r:id="rId61"/>
        </w:object>
      </w:r>
      <w:r w:rsidRPr="001E1FD4">
        <w:rPr>
          <w:rFonts w:ascii="Garamond" w:hAnsi="Garamond"/>
          <w:sz w:val="22"/>
          <w:szCs w:val="22"/>
        </w:rPr>
        <w:t xml:space="preserve"> </w:t>
      </w:r>
      <w:r w:rsidR="001072F0">
        <w:rPr>
          <w:rFonts w:ascii="Garamond" w:hAnsi="Garamond"/>
          <w:sz w:val="22"/>
          <w:szCs w:val="22"/>
        </w:rPr>
        <w:t>–</w:t>
      </w:r>
      <w:r w:rsidRPr="001E1FD4">
        <w:rPr>
          <w:rFonts w:ascii="Garamond" w:hAnsi="Garamond"/>
          <w:sz w:val="22"/>
          <w:szCs w:val="22"/>
        </w:rPr>
        <w:t xml:space="preserve"> величина положительной разницы,</w:t>
      </w:r>
      <w:r w:rsidR="00A35BFB" w:rsidRPr="001E1FD4">
        <w:rPr>
          <w:rFonts w:ascii="Garamond" w:hAnsi="Garamond"/>
          <w:sz w:val="22"/>
          <w:szCs w:val="22"/>
        </w:rPr>
        <w:t xml:space="preserve"> распределенная потребителям</w:t>
      </w:r>
      <w:r w:rsidRPr="001E1FD4">
        <w:rPr>
          <w:rFonts w:ascii="Garamond" w:hAnsi="Garamond"/>
          <w:sz w:val="22"/>
          <w:szCs w:val="22"/>
        </w:rPr>
        <w:t>, определенная в соответствии с подпунктом 1 пункта 9.2.1 настоящего Регламента (руб.);</w:t>
      </w:r>
    </w:p>
    <w:p w:rsidR="00A35BFB" w:rsidRPr="001E1FD4" w:rsidRDefault="0014132E" w:rsidP="00656B32">
      <w:pPr>
        <w:spacing w:after="120"/>
        <w:rPr>
          <w:rFonts w:ascii="Garamond" w:hAnsi="Garamond"/>
          <w:sz w:val="22"/>
          <w:szCs w:val="22"/>
        </w:rPr>
      </w:pPr>
      <w:r w:rsidRPr="001E1FD4">
        <w:rPr>
          <w:rFonts w:ascii="Garamond" w:hAnsi="Garamond"/>
          <w:position w:val="-6"/>
          <w:sz w:val="22"/>
          <w:szCs w:val="22"/>
        </w:rPr>
        <w:object w:dxaOrig="300" w:dyaOrig="320">
          <v:shape id="_x0000_i1059" type="#_x0000_t75" style="width:15.05pt;height:15.65pt" o:ole="">
            <v:imagedata r:id="rId29" o:title=""/>
          </v:shape>
          <o:OLEObject Type="Embed" ProgID="Equation.3" ShapeID="_x0000_i1059" DrawAspect="Content" ObjectID="_1659362490" r:id="rId62"/>
        </w:object>
      </w:r>
      <w:r w:rsidRPr="001E1FD4">
        <w:rPr>
          <w:rFonts w:ascii="Garamond" w:hAnsi="Garamond"/>
          <w:sz w:val="22"/>
          <w:szCs w:val="22"/>
        </w:rPr>
        <w:t xml:space="preserve"> </w:t>
      </w:r>
      <w:r w:rsidR="001072F0">
        <w:rPr>
          <w:rFonts w:ascii="Garamond" w:hAnsi="Garamond"/>
          <w:sz w:val="22"/>
          <w:szCs w:val="22"/>
        </w:rPr>
        <w:t>–</w:t>
      </w:r>
      <w:r w:rsidRPr="001E1FD4">
        <w:rPr>
          <w:rFonts w:ascii="Garamond" w:hAnsi="Garamond"/>
          <w:sz w:val="22"/>
          <w:szCs w:val="22"/>
        </w:rPr>
        <w:t xml:space="preserve"> величина положительной разницы, распределенная</w:t>
      </w:r>
      <w:r w:rsidR="00A35BFB" w:rsidRPr="001E1FD4">
        <w:rPr>
          <w:rFonts w:ascii="Garamond" w:hAnsi="Garamond"/>
          <w:sz w:val="22"/>
          <w:szCs w:val="22"/>
        </w:rPr>
        <w:t xml:space="preserve"> генераторам (потребителям с РН)</w:t>
      </w:r>
      <w:r w:rsidRPr="001E1FD4">
        <w:rPr>
          <w:rFonts w:ascii="Garamond" w:hAnsi="Garamond"/>
          <w:sz w:val="22"/>
          <w:szCs w:val="22"/>
        </w:rPr>
        <w:t>, определенная в соответствии с подпунктом 2 пункта 9.2.1 настоящего Регламента (руб.);</w:t>
      </w:r>
    </w:p>
    <w:p w:rsidR="00A35BFB" w:rsidRPr="001E1FD4" w:rsidRDefault="0014132E" w:rsidP="00656B32">
      <w:pPr>
        <w:spacing w:after="120"/>
        <w:rPr>
          <w:rFonts w:ascii="Garamond" w:hAnsi="Garamond"/>
          <w:sz w:val="22"/>
          <w:szCs w:val="22"/>
        </w:rPr>
      </w:pPr>
      <w:r w:rsidRPr="001E1FD4">
        <w:rPr>
          <w:rFonts w:ascii="Garamond" w:hAnsi="Garamond"/>
          <w:position w:val="-14"/>
          <w:sz w:val="22"/>
          <w:szCs w:val="22"/>
        </w:rPr>
        <w:object w:dxaOrig="840" w:dyaOrig="400">
          <v:shape id="_x0000_i1060" type="#_x0000_t75" style="width:41.95pt;height:20.65pt" o:ole="">
            <v:imagedata r:id="rId31" o:title=""/>
          </v:shape>
          <o:OLEObject Type="Embed" ProgID="Equation.3" ShapeID="_x0000_i1060" DrawAspect="Content" ObjectID="_1659362491" r:id="rId63"/>
        </w:object>
      </w:r>
      <w:r w:rsidR="001072F0">
        <w:rPr>
          <w:rFonts w:ascii="Garamond" w:hAnsi="Garamond"/>
          <w:sz w:val="22"/>
          <w:szCs w:val="22"/>
        </w:rPr>
        <w:t>–</w:t>
      </w:r>
      <w:r w:rsidRPr="001E1FD4">
        <w:rPr>
          <w:rFonts w:ascii="Garamond" w:hAnsi="Garamond"/>
          <w:sz w:val="22"/>
          <w:szCs w:val="22"/>
        </w:rPr>
        <w:t xml:space="preserve"> с</w:t>
      </w:r>
      <w:r w:rsidR="00A35BFB" w:rsidRPr="001E1FD4">
        <w:rPr>
          <w:rFonts w:ascii="Garamond" w:hAnsi="Garamond"/>
          <w:sz w:val="22"/>
          <w:szCs w:val="22"/>
        </w:rPr>
        <w:t>уммарная величина объемов планового почасового потребления электроэнергии за расчетный период по ценовой зоне для распределения положи</w:t>
      </w:r>
      <w:r w:rsidRPr="001E1FD4">
        <w:rPr>
          <w:rFonts w:ascii="Garamond" w:hAnsi="Garamond"/>
          <w:sz w:val="22"/>
          <w:szCs w:val="22"/>
        </w:rPr>
        <w:t xml:space="preserve">тельной разницы по потребителям, определенная как знаменатель </w:t>
      </w:r>
      <w:proofErr w:type="gramStart"/>
      <w:r w:rsidRPr="001E1FD4">
        <w:rPr>
          <w:rFonts w:ascii="Garamond" w:hAnsi="Garamond"/>
          <w:sz w:val="22"/>
          <w:szCs w:val="22"/>
        </w:rPr>
        <w:t xml:space="preserve">доли </w:t>
      </w:r>
      <w:r w:rsidR="007C7F6F" w:rsidRPr="001E1FD4">
        <w:rPr>
          <w:rFonts w:ascii="Garamond" w:hAnsi="Garamond"/>
          <w:position w:val="-14"/>
          <w:sz w:val="22"/>
          <w:szCs w:val="22"/>
        </w:rPr>
        <w:object w:dxaOrig="440" w:dyaOrig="400">
          <v:shape id="_x0000_i1061" type="#_x0000_t75" style="width:21.9pt;height:20.65pt" o:ole="">
            <v:imagedata r:id="rId64" o:title=""/>
          </v:shape>
          <o:OLEObject Type="Embed" ProgID="Equation.3" ShapeID="_x0000_i1061" DrawAspect="Content" ObjectID="_1659362492" r:id="rId65"/>
        </w:object>
      </w:r>
      <w:r w:rsidR="007C7F6F" w:rsidRPr="001E1FD4">
        <w:rPr>
          <w:rFonts w:ascii="Garamond" w:hAnsi="Garamond"/>
          <w:sz w:val="22"/>
          <w:szCs w:val="22"/>
        </w:rPr>
        <w:t>,</w:t>
      </w:r>
      <w:proofErr w:type="gramEnd"/>
      <w:r w:rsidR="007C7F6F" w:rsidRPr="001E1FD4">
        <w:rPr>
          <w:rFonts w:ascii="Garamond" w:hAnsi="Garamond"/>
          <w:sz w:val="22"/>
          <w:szCs w:val="22"/>
        </w:rPr>
        <w:t xml:space="preserve"> рассчитанной в соответствии с пунктом 9.2.2 настоящего Регламента (</w:t>
      </w:r>
      <w:proofErr w:type="spellStart"/>
      <w:r w:rsidR="007C7F6F" w:rsidRPr="001E1FD4">
        <w:rPr>
          <w:rFonts w:ascii="Garamond" w:hAnsi="Garamond"/>
          <w:sz w:val="22"/>
          <w:szCs w:val="22"/>
        </w:rPr>
        <w:t>кВт</w:t>
      </w:r>
      <w:r w:rsidR="001E1FD4">
        <w:rPr>
          <w:rFonts w:ascii="Calibri" w:hAnsi="Calibri"/>
          <w:sz w:val="22"/>
          <w:szCs w:val="22"/>
        </w:rPr>
        <w:t>·</w:t>
      </w:r>
      <w:r w:rsidR="007C7F6F" w:rsidRPr="001E1FD4">
        <w:rPr>
          <w:rFonts w:ascii="Garamond" w:hAnsi="Garamond"/>
          <w:sz w:val="22"/>
          <w:szCs w:val="22"/>
        </w:rPr>
        <w:t>ч</w:t>
      </w:r>
      <w:proofErr w:type="spellEnd"/>
      <w:r w:rsidR="007C7F6F" w:rsidRPr="001E1FD4">
        <w:rPr>
          <w:rFonts w:ascii="Garamond" w:hAnsi="Garamond"/>
          <w:sz w:val="22"/>
          <w:szCs w:val="22"/>
        </w:rPr>
        <w:t>);</w:t>
      </w:r>
    </w:p>
    <w:p w:rsidR="002A7C02" w:rsidRPr="001E1FD4" w:rsidRDefault="007C7F6F" w:rsidP="00CE481C">
      <w:pPr>
        <w:spacing w:after="120"/>
        <w:rPr>
          <w:rFonts w:ascii="Garamond" w:hAnsi="Garamond"/>
          <w:sz w:val="22"/>
          <w:szCs w:val="22"/>
        </w:rPr>
      </w:pPr>
      <w:r w:rsidRPr="001E1FD4">
        <w:rPr>
          <w:rFonts w:ascii="Garamond" w:hAnsi="Garamond"/>
          <w:position w:val="-14"/>
          <w:sz w:val="22"/>
          <w:szCs w:val="22"/>
        </w:rPr>
        <w:object w:dxaOrig="760" w:dyaOrig="400">
          <v:shape id="_x0000_i1062" type="#_x0000_t75" style="width:38.2pt;height:20.65pt" o:ole="">
            <v:imagedata r:id="rId33" o:title=""/>
          </v:shape>
          <o:OLEObject Type="Embed" ProgID="Equation.3" ShapeID="_x0000_i1062" DrawAspect="Content" ObjectID="_1659362493" r:id="rId66"/>
        </w:object>
      </w:r>
      <w:r w:rsidRPr="001E1FD4">
        <w:rPr>
          <w:rFonts w:ascii="Garamond" w:hAnsi="Garamond"/>
          <w:sz w:val="22"/>
          <w:szCs w:val="22"/>
        </w:rPr>
        <w:t xml:space="preserve"> </w:t>
      </w:r>
      <w:r w:rsidR="001072F0">
        <w:rPr>
          <w:rFonts w:ascii="Garamond" w:hAnsi="Garamond"/>
          <w:sz w:val="22"/>
          <w:szCs w:val="22"/>
        </w:rPr>
        <w:t>–</w:t>
      </w:r>
      <w:r w:rsidRPr="001E1FD4">
        <w:rPr>
          <w:rFonts w:ascii="Garamond" w:hAnsi="Garamond"/>
          <w:sz w:val="22"/>
          <w:szCs w:val="22"/>
        </w:rPr>
        <w:t xml:space="preserve"> с</w:t>
      </w:r>
      <w:r w:rsidR="00A35BFB" w:rsidRPr="001E1FD4">
        <w:rPr>
          <w:rFonts w:ascii="Garamond" w:hAnsi="Garamond"/>
          <w:sz w:val="22"/>
          <w:szCs w:val="22"/>
        </w:rPr>
        <w:t>овокупный объем исполненных внешних инициатив по ценовой зоне для распределения положительной разницы по генераторам (потребителям с РН)</w:t>
      </w:r>
      <w:r w:rsidRPr="001E1FD4">
        <w:rPr>
          <w:rFonts w:ascii="Garamond" w:hAnsi="Garamond"/>
          <w:sz w:val="22"/>
          <w:szCs w:val="22"/>
        </w:rPr>
        <w:t xml:space="preserve">, определенный как знаменатель </w:t>
      </w:r>
      <w:proofErr w:type="gramStart"/>
      <w:r w:rsidRPr="001E1FD4">
        <w:rPr>
          <w:rFonts w:ascii="Garamond" w:hAnsi="Garamond"/>
          <w:sz w:val="22"/>
          <w:szCs w:val="22"/>
        </w:rPr>
        <w:t xml:space="preserve">доли </w:t>
      </w:r>
      <w:r w:rsidRPr="001E1FD4">
        <w:rPr>
          <w:rFonts w:ascii="Garamond" w:hAnsi="Garamond"/>
          <w:position w:val="-14"/>
          <w:sz w:val="22"/>
          <w:szCs w:val="22"/>
        </w:rPr>
        <w:object w:dxaOrig="460" w:dyaOrig="400">
          <v:shape id="_x0000_i1063" type="#_x0000_t75" style="width:22.55pt;height:20.65pt" o:ole="">
            <v:imagedata r:id="rId67" o:title=""/>
          </v:shape>
          <o:OLEObject Type="Embed" ProgID="Equation.3" ShapeID="_x0000_i1063" DrawAspect="Content" ObjectID="_1659362494" r:id="rId68"/>
        </w:object>
      </w:r>
      <w:r w:rsidRPr="001E1FD4">
        <w:rPr>
          <w:rFonts w:ascii="Garamond" w:hAnsi="Garamond"/>
          <w:sz w:val="22"/>
          <w:szCs w:val="22"/>
        </w:rPr>
        <w:t>,</w:t>
      </w:r>
      <w:proofErr w:type="gramEnd"/>
      <w:r w:rsidRPr="001E1FD4">
        <w:rPr>
          <w:rFonts w:ascii="Garamond" w:hAnsi="Garamond"/>
          <w:sz w:val="22"/>
          <w:szCs w:val="22"/>
        </w:rPr>
        <w:t xml:space="preserve"> рассчитанной в соответствии с пунктом 9.2.3 настоящего Регламента (</w:t>
      </w:r>
      <w:proofErr w:type="spellStart"/>
      <w:r w:rsidRPr="001E1FD4">
        <w:rPr>
          <w:rFonts w:ascii="Garamond" w:hAnsi="Garamond"/>
          <w:sz w:val="22"/>
          <w:szCs w:val="22"/>
        </w:rPr>
        <w:t>кВт</w:t>
      </w:r>
      <w:r w:rsidR="001E1FD4">
        <w:rPr>
          <w:rFonts w:ascii="Calibri" w:hAnsi="Calibri"/>
          <w:sz w:val="22"/>
          <w:szCs w:val="22"/>
        </w:rPr>
        <w:t>·</w:t>
      </w:r>
      <w:r w:rsidRPr="001E1FD4">
        <w:rPr>
          <w:rFonts w:ascii="Garamond" w:hAnsi="Garamond"/>
          <w:sz w:val="22"/>
          <w:szCs w:val="22"/>
        </w:rPr>
        <w:t>ч</w:t>
      </w:r>
      <w:proofErr w:type="spellEnd"/>
      <w:r w:rsidRPr="001E1FD4">
        <w:rPr>
          <w:rFonts w:ascii="Garamond" w:hAnsi="Garamond"/>
          <w:sz w:val="22"/>
          <w:szCs w:val="22"/>
        </w:rPr>
        <w:t>).</w:t>
      </w:r>
    </w:p>
    <w:p w:rsidR="00CB40BF" w:rsidRDefault="00CB40BF">
      <w:pPr>
        <w:rPr>
          <w:rFonts w:ascii="Garamond" w:hAnsi="Garamond"/>
          <w:b/>
          <w:bCs/>
          <w:sz w:val="26"/>
          <w:szCs w:val="26"/>
        </w:rPr>
      </w:pPr>
      <w:bookmarkStart w:id="1" w:name="_Toc101261834"/>
      <w:bookmarkStart w:id="2" w:name="_Toc101672096"/>
      <w:bookmarkStart w:id="3" w:name="_Toc103055809"/>
      <w:bookmarkStart w:id="4" w:name="_Toc105228112"/>
      <w:bookmarkStart w:id="5" w:name="_Toc107045995"/>
      <w:r>
        <w:rPr>
          <w:rFonts w:ascii="Garamond" w:hAnsi="Garamond"/>
          <w:sz w:val="26"/>
          <w:szCs w:val="26"/>
        </w:rPr>
        <w:br w:type="page"/>
      </w:r>
    </w:p>
    <w:p w:rsidR="00F93319" w:rsidRPr="002B5432" w:rsidRDefault="00F93319" w:rsidP="001E1FD4">
      <w:pPr>
        <w:pStyle w:val="20"/>
        <w:keepNext w:val="0"/>
        <w:widowControl w:val="0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lastRenderedPageBreak/>
        <w:t xml:space="preserve">Предложения по изменениям </w:t>
      </w:r>
      <w:r w:rsidRPr="002B5432">
        <w:rPr>
          <w:rFonts w:ascii="Garamond" w:hAnsi="Garamond"/>
          <w:sz w:val="26"/>
          <w:szCs w:val="26"/>
        </w:rPr>
        <w:t xml:space="preserve">и дополнениям в </w:t>
      </w:r>
      <w:bookmarkEnd w:id="1"/>
      <w:bookmarkEnd w:id="2"/>
      <w:r w:rsidRPr="002B5432">
        <w:rPr>
          <w:rFonts w:ascii="Garamond" w:hAnsi="Garamond"/>
          <w:sz w:val="26"/>
          <w:szCs w:val="26"/>
        </w:rPr>
        <w:t xml:space="preserve">РЕГЛАМЕНТ </w:t>
      </w:r>
      <w:r w:rsidRPr="00F93319">
        <w:rPr>
          <w:rFonts w:ascii="Garamond" w:hAnsi="Garamond"/>
          <w:sz w:val="26"/>
          <w:szCs w:val="26"/>
        </w:rPr>
        <w:t>ФИНАНСОВЫХ РАСЧЕТОВ НА ОПТОВОМ РЫНКЕ ЭЛЕКТРОЭНЕРГИИ</w:t>
      </w:r>
      <w:r w:rsidRPr="002B5432">
        <w:rPr>
          <w:rFonts w:ascii="Garamond" w:hAnsi="Garamond"/>
          <w:sz w:val="26"/>
          <w:szCs w:val="26"/>
        </w:rPr>
        <w:t xml:space="preserve"> (Приложение № </w:t>
      </w:r>
      <w:r>
        <w:rPr>
          <w:rFonts w:ascii="Garamond" w:hAnsi="Garamond"/>
          <w:sz w:val="26"/>
          <w:szCs w:val="26"/>
        </w:rPr>
        <w:t>16</w:t>
      </w:r>
      <w:r w:rsidRPr="002B5432">
        <w:rPr>
          <w:rFonts w:ascii="Garamond" w:hAnsi="Garamond"/>
          <w:sz w:val="26"/>
          <w:szCs w:val="26"/>
        </w:rPr>
        <w:t xml:space="preserve"> к Договору о присоединении к торговой системе оптового рынка)</w:t>
      </w:r>
      <w:bookmarkEnd w:id="3"/>
      <w:bookmarkEnd w:id="4"/>
      <w:bookmarkEnd w:id="5"/>
    </w:p>
    <w:p w:rsidR="00F93319" w:rsidRPr="002B5432" w:rsidRDefault="00F93319" w:rsidP="00F93319">
      <w:pPr>
        <w:widowControl w:val="0"/>
        <w:rPr>
          <w:rFonts w:ascii="Garamond" w:hAnsi="Garamond"/>
        </w:rPr>
      </w:pPr>
    </w:p>
    <w:tbl>
      <w:tblPr>
        <w:tblW w:w="1495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6300"/>
        <w:gridCol w:w="7733"/>
      </w:tblGrid>
      <w:tr w:rsidR="00F93319" w:rsidRPr="002B5432" w:rsidTr="001E1FD4">
        <w:tc>
          <w:tcPr>
            <w:tcW w:w="918" w:type="dxa"/>
            <w:vAlign w:val="center"/>
          </w:tcPr>
          <w:p w:rsidR="00F93319" w:rsidRDefault="00F93319" w:rsidP="009D41C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№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:rsidR="00F93319" w:rsidRPr="002B5432" w:rsidRDefault="00F93319" w:rsidP="009D41C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300" w:type="dxa"/>
          </w:tcPr>
          <w:p w:rsidR="00F93319" w:rsidRPr="008C14FB" w:rsidRDefault="00F93319" w:rsidP="009D41CE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8C14FB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F93319" w:rsidRPr="002B5432" w:rsidRDefault="00F93319" w:rsidP="009D41CE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C14FB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733" w:type="dxa"/>
          </w:tcPr>
          <w:p w:rsidR="00F93319" w:rsidRPr="002B5432" w:rsidRDefault="00F93319" w:rsidP="009D41C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:rsidR="00F93319" w:rsidRPr="002B5432" w:rsidRDefault="00F93319" w:rsidP="009D41CE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2B5432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F93319" w:rsidRPr="002B5432" w:rsidTr="001E1FD4">
        <w:trPr>
          <w:trHeight w:val="1501"/>
        </w:trPr>
        <w:tc>
          <w:tcPr>
            <w:tcW w:w="918" w:type="dxa"/>
          </w:tcPr>
          <w:p w:rsidR="00F93319" w:rsidRPr="005C6838" w:rsidRDefault="00F93319" w:rsidP="009D41C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5</w:t>
            </w:r>
            <w:r w:rsidRPr="005C6838">
              <w:rPr>
                <w:rFonts w:ascii="Garamond" w:hAnsi="Garamond"/>
                <w:b/>
                <w:sz w:val="22"/>
                <w:szCs w:val="22"/>
              </w:rPr>
              <w:t>.</w:t>
            </w:r>
            <w:r>
              <w:rPr>
                <w:rFonts w:ascii="Garamond" w:hAnsi="Garamond"/>
                <w:b/>
                <w:sz w:val="22"/>
                <w:szCs w:val="22"/>
              </w:rPr>
              <w:t>6</w:t>
            </w:r>
          </w:p>
        </w:tc>
        <w:tc>
          <w:tcPr>
            <w:tcW w:w="6300" w:type="dxa"/>
          </w:tcPr>
          <w:p w:rsidR="00F93319" w:rsidRDefault="00F93319" w:rsidP="009D41CE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260"/>
                <w:tab w:val="left" w:pos="0"/>
                <w:tab w:val="left" w:pos="4477"/>
              </w:tabs>
              <w:spacing w:before="60" w:after="60"/>
              <w:ind w:left="643" w:hanging="360"/>
              <w:rPr>
                <w:szCs w:val="22"/>
              </w:rPr>
            </w:pPr>
            <w:r w:rsidRPr="002B5432">
              <w:rPr>
                <w:szCs w:val="22"/>
              </w:rPr>
              <w:t>…</w:t>
            </w:r>
          </w:p>
          <w:p w:rsidR="00F93319" w:rsidRDefault="00F93319" w:rsidP="009D41CE">
            <w:pPr>
              <w:pStyle w:val="a4"/>
              <w:ind w:firstLine="567"/>
              <w:rPr>
                <w:rFonts w:ascii="Garamond" w:hAnsi="Garamond"/>
                <w:szCs w:val="22"/>
                <w:lang w:val="ru-RU"/>
              </w:rPr>
            </w:pPr>
            <w:r w:rsidRPr="003C0090">
              <w:rPr>
                <w:rFonts w:ascii="Garamond" w:hAnsi="Garamond"/>
                <w:szCs w:val="22"/>
                <w:lang w:val="ru-RU"/>
              </w:rPr>
              <w:t xml:space="preserve">Не позднее 17-го числа месяца, следующего за расчетным, КО размещает на своем официальном сайте, в разделе с ограниченным в соответствии с Правилами ЭДО СЭД КО доступом отчет, сформированный в соответствии с пунктом 5.1.2.1 </w:t>
            </w:r>
            <w:r w:rsidRPr="000E7DD9">
              <w:rPr>
                <w:rFonts w:ascii="Garamond" w:hAnsi="Garamond"/>
                <w:szCs w:val="22"/>
                <w:lang w:val="ru-RU"/>
              </w:rPr>
              <w:t>Регламента определения объемов, инициатив и стоимости отклонений</w:t>
            </w:r>
            <w:r w:rsidRPr="003C0090">
              <w:rPr>
                <w:rFonts w:ascii="Garamond" w:hAnsi="Garamond"/>
                <w:szCs w:val="22"/>
                <w:lang w:val="ru-RU"/>
              </w:rPr>
              <w:t xml:space="preserve"> (Приложение № 12 к </w:t>
            </w:r>
            <w:r w:rsidRPr="000E7DD9">
              <w:rPr>
                <w:rFonts w:ascii="Garamond" w:hAnsi="Garamond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3C0090">
              <w:rPr>
                <w:rFonts w:ascii="Garamond" w:hAnsi="Garamond"/>
                <w:szCs w:val="22"/>
                <w:lang w:val="ru-RU"/>
              </w:rPr>
              <w:t>) для участников оптового рынка, с использованием электронной подписи по форме, установленной приложением 36.6 к данному Регламенту.</w:t>
            </w:r>
          </w:p>
          <w:p w:rsidR="00F93319" w:rsidRPr="003C0090" w:rsidRDefault="00F93319" w:rsidP="009D41CE">
            <w:pPr>
              <w:pStyle w:val="a4"/>
              <w:ind w:firstLine="567"/>
              <w:rPr>
                <w:rFonts w:ascii="Garamond" w:hAnsi="Garamond"/>
                <w:szCs w:val="22"/>
                <w:lang w:val="ru-RU"/>
              </w:rPr>
            </w:pPr>
          </w:p>
          <w:p w:rsidR="00F93319" w:rsidRDefault="00F93319" w:rsidP="009D41CE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260"/>
                <w:tab w:val="left" w:pos="0"/>
                <w:tab w:val="left" w:pos="4477"/>
              </w:tabs>
              <w:spacing w:before="60" w:after="60"/>
              <w:rPr>
                <w:szCs w:val="22"/>
              </w:rPr>
            </w:pPr>
          </w:p>
          <w:p w:rsidR="00F93319" w:rsidRPr="002B5432" w:rsidRDefault="00F93319" w:rsidP="009D41CE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260"/>
                <w:tab w:val="left" w:pos="0"/>
                <w:tab w:val="left" w:pos="4477"/>
              </w:tabs>
              <w:spacing w:before="60" w:after="60"/>
              <w:rPr>
                <w:szCs w:val="22"/>
              </w:rPr>
            </w:pPr>
          </w:p>
        </w:tc>
        <w:tc>
          <w:tcPr>
            <w:tcW w:w="7733" w:type="dxa"/>
          </w:tcPr>
          <w:p w:rsidR="00F93319" w:rsidRDefault="00F93319" w:rsidP="009D41CE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260"/>
                <w:tab w:val="left" w:pos="0"/>
                <w:tab w:val="left" w:pos="4477"/>
              </w:tabs>
              <w:spacing w:before="60" w:after="60"/>
              <w:ind w:left="643" w:hanging="360"/>
              <w:rPr>
                <w:szCs w:val="22"/>
              </w:rPr>
            </w:pPr>
            <w:r w:rsidRPr="002B5432">
              <w:rPr>
                <w:szCs w:val="22"/>
              </w:rPr>
              <w:t>…</w:t>
            </w:r>
          </w:p>
          <w:p w:rsidR="00F93319" w:rsidRDefault="00F93319" w:rsidP="009D41CE">
            <w:pPr>
              <w:pStyle w:val="a4"/>
              <w:ind w:firstLine="567"/>
              <w:rPr>
                <w:rFonts w:ascii="Garamond" w:hAnsi="Garamond"/>
                <w:szCs w:val="22"/>
                <w:lang w:val="ru-RU"/>
              </w:rPr>
            </w:pPr>
            <w:r w:rsidRPr="003C0090">
              <w:rPr>
                <w:rFonts w:ascii="Garamond" w:hAnsi="Garamond"/>
                <w:szCs w:val="22"/>
                <w:lang w:val="ru-RU"/>
              </w:rPr>
              <w:t xml:space="preserve">Не позднее 17-го числа месяца, следующего за расчетным, КО размещает на своем официальном сайте, в разделе с ограниченным в соответствии с Правилами ЭДО СЭД КО доступом отчет, сформированный в соответствии с пунктом 5.1.2.1 </w:t>
            </w:r>
            <w:r w:rsidRPr="000E7DD9">
              <w:rPr>
                <w:rFonts w:ascii="Garamond" w:hAnsi="Garamond"/>
                <w:szCs w:val="22"/>
                <w:lang w:val="ru-RU"/>
              </w:rPr>
              <w:t>Регламента определения объемов, инициатив и стоимости отклонений</w:t>
            </w:r>
            <w:r w:rsidRPr="003C0090">
              <w:rPr>
                <w:rFonts w:ascii="Garamond" w:hAnsi="Garamond"/>
                <w:szCs w:val="22"/>
                <w:lang w:val="ru-RU"/>
              </w:rPr>
              <w:t xml:space="preserve"> (Приложение № 12 к </w:t>
            </w:r>
            <w:r w:rsidRPr="000E7DD9">
              <w:rPr>
                <w:rFonts w:ascii="Garamond" w:hAnsi="Garamond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3C0090">
              <w:rPr>
                <w:rFonts w:ascii="Garamond" w:hAnsi="Garamond"/>
                <w:szCs w:val="22"/>
                <w:lang w:val="ru-RU"/>
              </w:rPr>
              <w:t>) для участников оптового рынка, с использованием электронной подписи по форме, установленной приложением 36.6 к данному Регламенту.</w:t>
            </w:r>
          </w:p>
          <w:p w:rsidR="00F93319" w:rsidRPr="001E1FD4" w:rsidRDefault="00F93319" w:rsidP="002B29D4">
            <w:pPr>
              <w:pStyle w:val="a4"/>
              <w:ind w:firstLine="567"/>
              <w:rPr>
                <w:rFonts w:ascii="Garamond" w:hAnsi="Garamond"/>
                <w:szCs w:val="22"/>
                <w:lang w:val="ru-RU"/>
              </w:rPr>
            </w:pPr>
            <w:r w:rsidRPr="000E7DD9">
              <w:rPr>
                <w:rFonts w:ascii="Garamond" w:hAnsi="Garamond"/>
                <w:szCs w:val="22"/>
                <w:highlight w:val="yellow"/>
                <w:lang w:val="ru-RU"/>
              </w:rPr>
              <w:t>Не позднее 1</w:t>
            </w:r>
            <w:r w:rsidR="00DD6F95">
              <w:rPr>
                <w:rFonts w:ascii="Garamond" w:hAnsi="Garamond"/>
                <w:szCs w:val="22"/>
                <w:highlight w:val="yellow"/>
                <w:lang w:val="ru-RU"/>
              </w:rPr>
              <w:t>8</w:t>
            </w:r>
            <w:r w:rsidRPr="000E7DD9">
              <w:rPr>
                <w:rFonts w:ascii="Garamond" w:hAnsi="Garamond"/>
                <w:szCs w:val="22"/>
                <w:highlight w:val="yellow"/>
                <w:lang w:val="ru-RU"/>
              </w:rPr>
              <w:t xml:space="preserve">-го числа месяца, следующего за расчетным, КО </w:t>
            </w:r>
            <w:r w:rsidRPr="00F93319">
              <w:rPr>
                <w:rFonts w:ascii="Garamond" w:hAnsi="Garamond"/>
                <w:szCs w:val="22"/>
                <w:highlight w:val="yellow"/>
                <w:lang w:val="ru-RU"/>
              </w:rPr>
              <w:t>размещает на своем официальном сайте в открытом доступе электронное сообщение, содержащее ежемесячный Отчет о величине корректировки небаланса балансирующего рынка в ценовых зонах по форм</w:t>
            </w:r>
            <w:r w:rsidR="00625C92">
              <w:rPr>
                <w:rFonts w:ascii="Garamond" w:hAnsi="Garamond"/>
                <w:szCs w:val="22"/>
                <w:highlight w:val="yellow"/>
                <w:lang w:val="ru-RU"/>
              </w:rPr>
              <w:t>е, установленной приложением 5</w:t>
            </w:r>
            <w:r w:rsidRPr="00F93319">
              <w:rPr>
                <w:rFonts w:ascii="Garamond" w:hAnsi="Garamond"/>
                <w:szCs w:val="22"/>
                <w:highlight w:val="yellow"/>
                <w:lang w:val="ru-RU"/>
              </w:rPr>
              <w:t xml:space="preserve"> к </w:t>
            </w:r>
            <w:r w:rsidRPr="001E1FD4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Регламенту определения объемов, инициатив и стоимости отклонений</w:t>
            </w:r>
            <w:r w:rsidRPr="00F93319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12 к </w:t>
            </w:r>
            <w:r w:rsidRPr="001E1FD4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F93319">
              <w:rPr>
                <w:rFonts w:ascii="Garamond" w:hAnsi="Garamond"/>
                <w:szCs w:val="22"/>
                <w:highlight w:val="yellow"/>
                <w:lang w:val="ru-RU"/>
              </w:rPr>
              <w:t>).</w:t>
            </w:r>
          </w:p>
        </w:tc>
      </w:tr>
    </w:tbl>
    <w:p w:rsidR="00F93319" w:rsidRDefault="00F93319" w:rsidP="00F93319">
      <w:pPr>
        <w:widowControl w:val="0"/>
        <w:rPr>
          <w:rFonts w:ascii="Garamond" w:hAnsi="Garamond"/>
        </w:rPr>
      </w:pPr>
    </w:p>
    <w:p w:rsidR="0070024A" w:rsidRDefault="0070024A" w:rsidP="0070024A">
      <w:pPr>
        <w:spacing w:after="160" w:line="252" w:lineRule="auto"/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t xml:space="preserve">Предложения по изменениям и дополнениям в СОГЛАШЕНИЕ </w:t>
      </w:r>
      <w:r>
        <w:rPr>
          <w:rFonts w:ascii="Garamond" w:hAnsi="Garamond"/>
          <w:b/>
          <w:bCs/>
          <w:caps/>
          <w:sz w:val="26"/>
          <w:szCs w:val="26"/>
        </w:rPr>
        <w:t>о п</w:t>
      </w:r>
      <w:r w:rsidR="002B29D4">
        <w:rPr>
          <w:rFonts w:ascii="Garamond" w:hAnsi="Garamond"/>
          <w:b/>
          <w:bCs/>
          <w:caps/>
          <w:sz w:val="26"/>
          <w:szCs w:val="26"/>
        </w:rPr>
        <w:t>рименении электронной подписи в </w:t>
      </w:r>
      <w:r>
        <w:rPr>
          <w:rFonts w:ascii="Garamond" w:hAnsi="Garamond"/>
          <w:b/>
          <w:bCs/>
          <w:caps/>
          <w:sz w:val="26"/>
          <w:szCs w:val="26"/>
        </w:rPr>
        <w:t>торговой системе оптового рынка</w:t>
      </w:r>
      <w:r>
        <w:rPr>
          <w:rFonts w:ascii="Garamond" w:hAnsi="Garamond"/>
          <w:b/>
          <w:bCs/>
          <w:sz w:val="26"/>
          <w:szCs w:val="26"/>
        </w:rPr>
        <w:t xml:space="preserve"> (Приложение № Д 7 к Договору о присоединении к торговой системе оптового рынка)</w:t>
      </w:r>
    </w:p>
    <w:p w:rsidR="001E1FD4" w:rsidRPr="0033055F" w:rsidRDefault="001E1FD4" w:rsidP="001E1FD4">
      <w:pPr>
        <w:contextualSpacing/>
        <w:rPr>
          <w:rFonts w:ascii="Garamond" w:eastAsia="SimSun" w:hAnsi="Garamond"/>
          <w:b/>
          <w:i/>
        </w:rPr>
      </w:pPr>
      <w:r w:rsidRPr="0033055F">
        <w:rPr>
          <w:rFonts w:ascii="Garamond" w:eastAsia="SimSun" w:hAnsi="Garamond"/>
          <w:b/>
          <w:i/>
        </w:rPr>
        <w:t>Добавить позици</w:t>
      </w:r>
      <w:r>
        <w:rPr>
          <w:rFonts w:ascii="Garamond" w:eastAsia="SimSun" w:hAnsi="Garamond"/>
          <w:b/>
          <w:i/>
        </w:rPr>
        <w:t>ю</w:t>
      </w:r>
      <w:r w:rsidRPr="0033055F">
        <w:rPr>
          <w:rFonts w:ascii="Garamond" w:eastAsia="SimSun" w:hAnsi="Garamond"/>
          <w:b/>
          <w:i/>
        </w:rPr>
        <w:t xml:space="preserve"> в приложение 2 к Правилам ЭДО СЭД КО:</w:t>
      </w:r>
    </w:p>
    <w:p w:rsidR="0070024A" w:rsidRDefault="0070024A" w:rsidP="0070024A">
      <w:pPr>
        <w:widowControl w:val="0"/>
        <w:rPr>
          <w:b/>
          <w:i/>
          <w:iCs/>
        </w:rPr>
      </w:pPr>
    </w:p>
    <w:tbl>
      <w:tblPr>
        <w:tblW w:w="1528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80"/>
        <w:gridCol w:w="3420"/>
        <w:gridCol w:w="1200"/>
        <w:gridCol w:w="648"/>
        <w:gridCol w:w="865"/>
        <w:gridCol w:w="720"/>
        <w:gridCol w:w="1386"/>
        <w:gridCol w:w="720"/>
        <w:gridCol w:w="720"/>
        <w:gridCol w:w="1281"/>
        <w:gridCol w:w="1344"/>
        <w:gridCol w:w="900"/>
        <w:gridCol w:w="1005"/>
      </w:tblGrid>
      <w:tr w:rsidR="0070024A" w:rsidRPr="00BA6651" w:rsidTr="001E1FD4">
        <w:trPr>
          <w:trHeight w:val="1353"/>
        </w:trPr>
        <w:tc>
          <w:tcPr>
            <w:tcW w:w="108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24A" w:rsidRPr="00BA6651" w:rsidRDefault="0070024A" w:rsidP="009D41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6651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342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24A" w:rsidRPr="00BA6651" w:rsidRDefault="0070024A" w:rsidP="009D41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6651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120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24A" w:rsidRPr="00BA6651" w:rsidRDefault="0070024A" w:rsidP="009D41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6651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64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24A" w:rsidRPr="00BA6651" w:rsidRDefault="0070024A" w:rsidP="009D41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6651">
              <w:rPr>
                <w:rFonts w:ascii="Arial" w:hAnsi="Arial" w:cs="Arial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86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24A" w:rsidRPr="00BA6651" w:rsidRDefault="0070024A" w:rsidP="009D41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6651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72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24A" w:rsidRPr="00BA6651" w:rsidRDefault="0070024A" w:rsidP="009D41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6651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13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24A" w:rsidRPr="00BA6651" w:rsidRDefault="0070024A" w:rsidP="009D41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6651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72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24A" w:rsidRPr="00BA6651" w:rsidRDefault="0070024A" w:rsidP="009D41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6651">
              <w:rPr>
                <w:rFonts w:ascii="Arial" w:hAnsi="Arial" w:cs="Arial"/>
                <w:color w:val="000000"/>
                <w:sz w:val="18"/>
                <w:szCs w:val="18"/>
              </w:rPr>
              <w:t>Подтверждать получение</w:t>
            </w:r>
          </w:p>
        </w:tc>
        <w:tc>
          <w:tcPr>
            <w:tcW w:w="72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24A" w:rsidRPr="00BA6651" w:rsidRDefault="0070024A" w:rsidP="009D41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6651">
              <w:rPr>
                <w:rFonts w:ascii="Arial" w:hAnsi="Arial" w:cs="Arial"/>
                <w:color w:val="000000"/>
                <w:sz w:val="18"/>
                <w:szCs w:val="18"/>
              </w:rPr>
              <w:t>Шифровать</w:t>
            </w:r>
          </w:p>
        </w:tc>
        <w:tc>
          <w:tcPr>
            <w:tcW w:w="12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24A" w:rsidRPr="00BA6651" w:rsidRDefault="0070024A" w:rsidP="009D41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6651">
              <w:rPr>
                <w:rFonts w:ascii="Arial" w:hAnsi="Arial" w:cs="Arial"/>
                <w:color w:val="000000"/>
                <w:sz w:val="18"/>
                <w:szCs w:val="18"/>
              </w:rPr>
              <w:t>Область применения ЭП</w:t>
            </w:r>
          </w:p>
        </w:tc>
        <w:tc>
          <w:tcPr>
            <w:tcW w:w="134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24A" w:rsidRPr="00BA6651" w:rsidRDefault="0070024A" w:rsidP="009D41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6651">
              <w:rPr>
                <w:rFonts w:ascii="Arial" w:hAnsi="Arial" w:cs="Arial"/>
                <w:color w:val="000000"/>
                <w:sz w:val="18"/>
                <w:szCs w:val="18"/>
              </w:rPr>
              <w:t>ПО отображения и изготовления бумажных копий</w:t>
            </w:r>
          </w:p>
        </w:tc>
        <w:tc>
          <w:tcPr>
            <w:tcW w:w="90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24A" w:rsidRPr="00BA6651" w:rsidRDefault="0070024A" w:rsidP="009D41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6651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ЭД в архиве</w:t>
            </w:r>
          </w:p>
        </w:tc>
        <w:tc>
          <w:tcPr>
            <w:tcW w:w="100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24A" w:rsidRPr="00BA6651" w:rsidRDefault="0070024A" w:rsidP="009D41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6651"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</w:tr>
      <w:tr w:rsidR="0070024A" w:rsidRPr="00BA6651" w:rsidTr="001E1FD4">
        <w:trPr>
          <w:trHeight w:val="474"/>
        </w:trPr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24A" w:rsidRPr="008E3239" w:rsidRDefault="008E3239" w:rsidP="0070024A">
            <w:pPr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report_balance_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BR</w:t>
            </w:r>
          </w:p>
        </w:tc>
        <w:tc>
          <w:tcPr>
            <w:tcW w:w="3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24A" w:rsidRPr="0070024A" w:rsidRDefault="008E3239" w:rsidP="00700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3239">
              <w:rPr>
                <w:rFonts w:ascii="Arial" w:hAnsi="Arial" w:cs="Arial"/>
                <w:color w:val="000000"/>
                <w:sz w:val="18"/>
                <w:szCs w:val="18"/>
              </w:rPr>
              <w:t>Отчет о величине корректировки небаланса балансирующего рынка в ценовых</w:t>
            </w:r>
            <w:r w:rsidR="00273094">
              <w:rPr>
                <w:rFonts w:ascii="Arial" w:hAnsi="Arial" w:cs="Arial"/>
                <w:color w:val="000000"/>
                <w:sz w:val="18"/>
                <w:szCs w:val="18"/>
              </w:rPr>
              <w:t xml:space="preserve"> зонах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24A" w:rsidRPr="0070024A" w:rsidRDefault="008E3239" w:rsidP="00700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5.6</w:t>
            </w:r>
          </w:p>
        </w:tc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24A" w:rsidRPr="0070024A" w:rsidRDefault="0070024A" w:rsidP="00700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24A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8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24A" w:rsidRPr="0070024A" w:rsidRDefault="0070024A" w:rsidP="00700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24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24A" w:rsidRPr="0070024A" w:rsidRDefault="0070024A" w:rsidP="00700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24A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24A" w:rsidRPr="0070024A" w:rsidRDefault="0070024A" w:rsidP="00700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24A">
              <w:rPr>
                <w:rFonts w:ascii="Arial" w:hAnsi="Arial" w:cs="Arial"/>
                <w:color w:val="000000"/>
                <w:sz w:val="18"/>
                <w:szCs w:val="18"/>
              </w:rPr>
              <w:t>сайт, доступ без авторизации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24A" w:rsidRPr="0070024A" w:rsidRDefault="0070024A" w:rsidP="00700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24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24A" w:rsidRPr="0070024A" w:rsidRDefault="0070024A" w:rsidP="00700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24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24A" w:rsidRPr="0070024A" w:rsidRDefault="001E1FD4" w:rsidP="00700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э</w:t>
            </w:r>
            <w:r w:rsidR="0070024A" w:rsidRPr="0070024A">
              <w:rPr>
                <w:rFonts w:ascii="Arial" w:hAnsi="Arial" w:cs="Arial"/>
                <w:color w:val="000000"/>
                <w:sz w:val="18"/>
                <w:szCs w:val="18"/>
              </w:rPr>
              <w:t>лектронное сообщение, без ЭП</w:t>
            </w:r>
          </w:p>
        </w:tc>
        <w:tc>
          <w:tcPr>
            <w:tcW w:w="13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24A" w:rsidRPr="0070024A" w:rsidRDefault="0070024A" w:rsidP="00700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24A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24A" w:rsidRPr="0070024A" w:rsidRDefault="0070024A" w:rsidP="007002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24A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10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24A" w:rsidRPr="0070024A" w:rsidRDefault="0070024A" w:rsidP="008E323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0327" w:rsidRDefault="00610327" w:rsidP="0070024A">
      <w:pPr>
        <w:widowControl w:val="0"/>
        <w:rPr>
          <w:rFonts w:ascii="Garamond" w:hAnsi="Garamond"/>
        </w:rPr>
      </w:pPr>
    </w:p>
    <w:sectPr w:rsidR="00610327" w:rsidSect="00AA1EF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4DE03F06"/>
    <w:multiLevelType w:val="hybridMultilevel"/>
    <w:tmpl w:val="16984A8E"/>
    <w:lvl w:ilvl="0" w:tplc="25CC5EE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EFE"/>
    <w:rsid w:val="000817A4"/>
    <w:rsid w:val="000E7DD9"/>
    <w:rsid w:val="001072F0"/>
    <w:rsid w:val="0012632F"/>
    <w:rsid w:val="001402E7"/>
    <w:rsid w:val="0014132E"/>
    <w:rsid w:val="001E1FD4"/>
    <w:rsid w:val="00273094"/>
    <w:rsid w:val="002A7C02"/>
    <w:rsid w:val="002B29D4"/>
    <w:rsid w:val="00342EB3"/>
    <w:rsid w:val="003778C6"/>
    <w:rsid w:val="003D57F8"/>
    <w:rsid w:val="00421863"/>
    <w:rsid w:val="00523FC4"/>
    <w:rsid w:val="00583D5E"/>
    <w:rsid w:val="005C6838"/>
    <w:rsid w:val="005F0A45"/>
    <w:rsid w:val="00610327"/>
    <w:rsid w:val="00625C92"/>
    <w:rsid w:val="00656B32"/>
    <w:rsid w:val="00685E7E"/>
    <w:rsid w:val="006C1065"/>
    <w:rsid w:val="006D7098"/>
    <w:rsid w:val="0070024A"/>
    <w:rsid w:val="007C7F6F"/>
    <w:rsid w:val="008B2041"/>
    <w:rsid w:val="008E3239"/>
    <w:rsid w:val="00900ACE"/>
    <w:rsid w:val="009D73D8"/>
    <w:rsid w:val="00A35BFB"/>
    <w:rsid w:val="00AA1EFE"/>
    <w:rsid w:val="00BA69F3"/>
    <w:rsid w:val="00C42E84"/>
    <w:rsid w:val="00CB1759"/>
    <w:rsid w:val="00CB40BF"/>
    <w:rsid w:val="00CE481C"/>
    <w:rsid w:val="00D00720"/>
    <w:rsid w:val="00D10989"/>
    <w:rsid w:val="00DD6F95"/>
    <w:rsid w:val="00F93319"/>
    <w:rsid w:val="00FC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5"/>
    <o:shapelayout v:ext="edit">
      <o:idmap v:ext="edit" data="1"/>
    </o:shapelayout>
  </w:shapeDefaults>
  <w:decimalSymbol w:val=","/>
  <w:listSeparator w:val=";"/>
  <w15:docId w15:val="{B988AEB8-C0BE-490C-8F02-BCCA22FEF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EFE"/>
    <w:rPr>
      <w:sz w:val="24"/>
      <w:szCs w:val="24"/>
    </w:rPr>
  </w:style>
  <w:style w:type="paragraph" w:styleId="20">
    <w:name w:val="heading 2"/>
    <w:basedOn w:val="a"/>
    <w:next w:val="a"/>
    <w:link w:val="21"/>
    <w:qFormat/>
    <w:rsid w:val="00AA1EFE"/>
    <w:pPr>
      <w:keepNext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rsid w:val="00AA1EFE"/>
    <w:pPr>
      <w:keepNext/>
      <w:keepLines/>
      <w:numPr>
        <w:numId w:val="1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table" w:styleId="a3">
    <w:name w:val="Table Grid"/>
    <w:basedOn w:val="a1"/>
    <w:rsid w:val="00D10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body text"/>
    <w:basedOn w:val="a"/>
    <w:link w:val="1"/>
    <w:rsid w:val="000E7DD9"/>
    <w:pPr>
      <w:spacing w:before="120" w:after="120"/>
      <w:jc w:val="both"/>
    </w:pPr>
    <w:rPr>
      <w:sz w:val="22"/>
      <w:szCs w:val="20"/>
      <w:lang w:val="en-GB" w:eastAsia="en-US"/>
    </w:rPr>
  </w:style>
  <w:style w:type="character" w:customStyle="1" w:styleId="a5">
    <w:name w:val="Основной текст Знак"/>
    <w:basedOn w:val="a0"/>
    <w:semiHidden/>
    <w:rsid w:val="000E7DD9"/>
    <w:rPr>
      <w:sz w:val="24"/>
      <w:szCs w:val="24"/>
    </w:rPr>
  </w:style>
  <w:style w:type="character" w:customStyle="1" w:styleId="1">
    <w:name w:val="Основной текст Знак1"/>
    <w:aliases w:val="body text Знак"/>
    <w:link w:val="a4"/>
    <w:rsid w:val="000E7DD9"/>
    <w:rPr>
      <w:sz w:val="22"/>
      <w:lang w:val="en-GB" w:eastAsia="en-US"/>
    </w:rPr>
  </w:style>
  <w:style w:type="character" w:customStyle="1" w:styleId="21">
    <w:name w:val="Заголовок 2 Знак"/>
    <w:basedOn w:val="a0"/>
    <w:link w:val="20"/>
    <w:rsid w:val="00DD6F95"/>
    <w:rPr>
      <w:b/>
      <w:bCs/>
    </w:rPr>
  </w:style>
  <w:style w:type="character" w:styleId="a6">
    <w:name w:val="annotation reference"/>
    <w:basedOn w:val="a0"/>
    <w:semiHidden/>
    <w:unhideWhenUsed/>
    <w:rsid w:val="00DD6F95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DD6F9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DD6F95"/>
  </w:style>
  <w:style w:type="paragraph" w:styleId="a9">
    <w:name w:val="Balloon Text"/>
    <w:basedOn w:val="a"/>
    <w:link w:val="aa"/>
    <w:semiHidden/>
    <w:unhideWhenUsed/>
    <w:rsid w:val="00DD6F9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DD6F95"/>
    <w:rPr>
      <w:rFonts w:ascii="Segoe UI" w:hAnsi="Segoe UI" w:cs="Segoe UI"/>
      <w:sz w:val="18"/>
      <w:szCs w:val="18"/>
    </w:rPr>
  </w:style>
  <w:style w:type="paragraph" w:customStyle="1" w:styleId="subclauseindent">
    <w:name w:val="subclauseindent"/>
    <w:basedOn w:val="a"/>
    <w:uiPriority w:val="99"/>
    <w:rsid w:val="00DD6F95"/>
    <w:pPr>
      <w:spacing w:before="120" w:after="120"/>
      <w:ind w:left="1701"/>
      <w:jc w:val="both"/>
    </w:pPr>
    <w:rPr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1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9.bin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5.bin"/><Relationship Id="rId50" Type="http://schemas.openxmlformats.org/officeDocument/2006/relationships/oleObject" Target="embeddings/oleObject27.bin"/><Relationship Id="rId55" Type="http://schemas.openxmlformats.org/officeDocument/2006/relationships/image" Target="media/image21.wmf"/><Relationship Id="rId63" Type="http://schemas.openxmlformats.org/officeDocument/2006/relationships/oleObject" Target="embeddings/oleObject36.bin"/><Relationship Id="rId68" Type="http://schemas.openxmlformats.org/officeDocument/2006/relationships/oleObject" Target="embeddings/oleObject39.bin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8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3.bin"/><Relationship Id="rId53" Type="http://schemas.openxmlformats.org/officeDocument/2006/relationships/oleObject" Target="embeddings/oleObject29.bin"/><Relationship Id="rId58" Type="http://schemas.openxmlformats.org/officeDocument/2006/relationships/oleObject" Target="embeddings/oleObject32.bin"/><Relationship Id="rId66" Type="http://schemas.openxmlformats.org/officeDocument/2006/relationships/oleObject" Target="embeddings/oleObject38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7.bin"/><Relationship Id="rId49" Type="http://schemas.openxmlformats.org/officeDocument/2006/relationships/image" Target="media/image19.wmf"/><Relationship Id="rId57" Type="http://schemas.openxmlformats.org/officeDocument/2006/relationships/image" Target="media/image22.wmf"/><Relationship Id="rId61" Type="http://schemas.openxmlformats.org/officeDocument/2006/relationships/oleObject" Target="embeddings/oleObject34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8.bin"/><Relationship Id="rId60" Type="http://schemas.openxmlformats.org/officeDocument/2006/relationships/oleObject" Target="embeddings/oleObject33.bin"/><Relationship Id="rId65" Type="http://schemas.openxmlformats.org/officeDocument/2006/relationships/oleObject" Target="embeddings/oleObject3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1.bin"/><Relationship Id="rId48" Type="http://schemas.openxmlformats.org/officeDocument/2006/relationships/oleObject" Target="embeddings/oleObject26.bin"/><Relationship Id="rId56" Type="http://schemas.openxmlformats.org/officeDocument/2006/relationships/oleObject" Target="embeddings/oleObject31.bin"/><Relationship Id="rId64" Type="http://schemas.openxmlformats.org/officeDocument/2006/relationships/image" Target="media/image24.wmf"/><Relationship Id="rId69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image" Target="media/image20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6.wmf"/><Relationship Id="rId46" Type="http://schemas.openxmlformats.org/officeDocument/2006/relationships/oleObject" Target="embeddings/oleObject24.bin"/><Relationship Id="rId59" Type="http://schemas.openxmlformats.org/officeDocument/2006/relationships/image" Target="media/image23.wmf"/><Relationship Id="rId67" Type="http://schemas.openxmlformats.org/officeDocument/2006/relationships/image" Target="media/image25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0.bin"/><Relationship Id="rId54" Type="http://schemas.openxmlformats.org/officeDocument/2006/relationships/oleObject" Target="embeddings/oleObject30.bin"/><Relationship Id="rId62" Type="http://schemas.openxmlformats.org/officeDocument/2006/relationships/oleObject" Target="embeddings/oleObject35.bin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920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rybnikova</dc:creator>
  <cp:keywords/>
  <cp:lastModifiedBy>Федяева Адиля Никитична</cp:lastModifiedBy>
  <cp:revision>24</cp:revision>
  <dcterms:created xsi:type="dcterms:W3CDTF">2020-07-07T09:45:00Z</dcterms:created>
  <dcterms:modified xsi:type="dcterms:W3CDTF">2020-08-19T14:13:00Z</dcterms:modified>
</cp:coreProperties>
</file>