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E3BD5" w14:textId="579AB890" w:rsidR="003C0BBD" w:rsidRDefault="003C0BBD" w:rsidP="003C0BBD">
      <w:pPr>
        <w:spacing w:line="252" w:lineRule="auto"/>
        <w:ind w:left="57"/>
        <w:contextualSpacing/>
        <w:jc w:val="right"/>
        <w:rPr>
          <w:rFonts w:eastAsia="Calibri"/>
        </w:rPr>
      </w:pPr>
      <w:r>
        <w:rPr>
          <w:rFonts w:eastAsia="Calibri"/>
          <w:caps/>
        </w:rPr>
        <w:t>Приложение</w:t>
      </w:r>
      <w:r>
        <w:rPr>
          <w:rFonts w:eastAsia="Calibri"/>
        </w:rPr>
        <w:t xml:space="preserve"> № </w:t>
      </w:r>
      <w:r w:rsidRPr="003C0BBD">
        <w:rPr>
          <w:rFonts w:eastAsia="Calibri"/>
        </w:rPr>
        <w:t>1.</w:t>
      </w:r>
      <w:r>
        <w:rPr>
          <w:rFonts w:eastAsia="Calibri"/>
        </w:rPr>
        <w:t>7</w:t>
      </w:r>
    </w:p>
    <w:p w14:paraId="47CA2B4D" w14:textId="77777777" w:rsidR="003C0BBD" w:rsidRDefault="003C0BBD" w:rsidP="003C0BBD">
      <w:pPr>
        <w:spacing w:line="252" w:lineRule="auto"/>
        <w:ind w:left="57"/>
        <w:contextualSpacing/>
        <w:jc w:val="right"/>
        <w:rPr>
          <w:rFonts w:eastAsia="Calibri"/>
        </w:rPr>
      </w:pPr>
      <w:r>
        <w:rPr>
          <w:rFonts w:eastAsia="Calibri"/>
        </w:rPr>
        <w:t xml:space="preserve">к Протоколу № 20/2020 заседания Наблюдательного совета </w:t>
      </w:r>
    </w:p>
    <w:p w14:paraId="5A808944" w14:textId="31EC0968" w:rsidR="003C0BBD" w:rsidRPr="003C0BBD" w:rsidRDefault="003C0BBD" w:rsidP="003C0BBD">
      <w:pPr>
        <w:widowControl w:val="0"/>
        <w:jc w:val="right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>
        <w:rPr>
          <w:rFonts w:eastAsia="Calibri"/>
        </w:rPr>
        <w:t>Ассоциации «НП Совет рынка» от 21 августа 2020 года.</w:t>
      </w:r>
    </w:p>
    <w:p w14:paraId="101ED145" w14:textId="77777777" w:rsidR="003C0BBD" w:rsidRPr="003C0BBD" w:rsidRDefault="003C0BBD" w:rsidP="00DA22C3">
      <w:pPr>
        <w:widowControl w:val="0"/>
        <w:rPr>
          <w:rFonts w:ascii="Garamond" w:hAnsi="Garamond"/>
          <w:b/>
          <w:sz w:val="28"/>
          <w:szCs w:val="28"/>
        </w:rPr>
      </w:pPr>
    </w:p>
    <w:p w14:paraId="43F2C937" w14:textId="2F13DD0C" w:rsidR="00AA1EFE" w:rsidRPr="002B5432" w:rsidRDefault="00075445" w:rsidP="00DA22C3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075445">
        <w:rPr>
          <w:rFonts w:ascii="Garamond" w:hAnsi="Garamond"/>
          <w:b/>
          <w:sz w:val="28"/>
          <w:szCs w:val="28"/>
        </w:rPr>
        <w:t>.</w:t>
      </w:r>
      <w:r w:rsidR="00FA02BA">
        <w:rPr>
          <w:rFonts w:ascii="Garamond" w:hAnsi="Garamond"/>
          <w:b/>
          <w:sz w:val="28"/>
          <w:szCs w:val="28"/>
        </w:rPr>
        <w:t>2</w:t>
      </w:r>
      <w:r w:rsidRPr="00075445">
        <w:rPr>
          <w:rFonts w:ascii="Garamond" w:hAnsi="Garamond"/>
          <w:b/>
          <w:sz w:val="28"/>
          <w:szCs w:val="28"/>
        </w:rPr>
        <w:t xml:space="preserve">. </w:t>
      </w:r>
      <w:r w:rsidR="00AA1EFE" w:rsidRPr="00A82A7B">
        <w:rPr>
          <w:rFonts w:ascii="Garamond" w:hAnsi="Garamond"/>
          <w:b/>
          <w:sz w:val="28"/>
          <w:szCs w:val="28"/>
        </w:rPr>
        <w:t>Изменения, связанные с</w:t>
      </w:r>
      <w:r w:rsidR="00910917">
        <w:rPr>
          <w:rFonts w:ascii="Garamond" w:hAnsi="Garamond"/>
          <w:b/>
          <w:sz w:val="28"/>
          <w:szCs w:val="28"/>
        </w:rPr>
        <w:t xml:space="preserve"> уточнением порядка учета выработки и потребления ГАЭС на оптовом рынке</w:t>
      </w:r>
    </w:p>
    <w:p w14:paraId="541E2223" w14:textId="77777777" w:rsidR="00AA1EFE" w:rsidRPr="008A6EA6" w:rsidRDefault="00AA1EFE" w:rsidP="00DA22C3">
      <w:pPr>
        <w:widowControl w:val="0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 </w:t>
      </w:r>
    </w:p>
    <w:p w14:paraId="4CF595FE" w14:textId="3F95378A" w:rsidR="00AA1EFE" w:rsidRPr="003C0BBD" w:rsidRDefault="00AA1EFE" w:rsidP="00DA22C3">
      <w:pPr>
        <w:widowControl w:val="0"/>
        <w:jc w:val="right"/>
        <w:rPr>
          <w:rFonts w:ascii="Garamond" w:hAnsi="Garamond"/>
          <w:b/>
          <w:sz w:val="28"/>
          <w:szCs w:val="28"/>
          <w:lang w:val="en-US"/>
        </w:rPr>
      </w:pPr>
      <w:r w:rsidRPr="00A82A7B">
        <w:rPr>
          <w:rFonts w:ascii="Garamond" w:hAnsi="Garamond"/>
          <w:b/>
          <w:sz w:val="28"/>
          <w:szCs w:val="28"/>
        </w:rPr>
        <w:t>Приложение №</w:t>
      </w:r>
      <w:r w:rsidR="003C0BBD">
        <w:rPr>
          <w:rFonts w:ascii="Garamond" w:hAnsi="Garamond"/>
          <w:b/>
          <w:sz w:val="28"/>
          <w:szCs w:val="28"/>
        </w:rPr>
        <w:t xml:space="preserve"> 1.7</w:t>
      </w:r>
    </w:p>
    <w:p w14:paraId="5E0A3A00" w14:textId="77777777" w:rsidR="00DA22C3" w:rsidRPr="00FA02BA" w:rsidRDefault="00DA22C3" w:rsidP="00DA22C3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AA1EFE" w:rsidRPr="002B5432" w14:paraId="4E09C3CB" w14:textId="77777777" w:rsidTr="00DA22C3">
        <w:trPr>
          <w:trHeight w:val="715"/>
        </w:trPr>
        <w:tc>
          <w:tcPr>
            <w:tcW w:w="14879" w:type="dxa"/>
          </w:tcPr>
          <w:p w14:paraId="04881A1A" w14:textId="2EE0F090" w:rsidR="00AA1EFE" w:rsidRPr="00540B47" w:rsidRDefault="00AA1EFE" w:rsidP="00DA22C3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B55CDA">
              <w:rPr>
                <w:rFonts w:ascii="Garamond" w:hAnsi="Garamond"/>
                <w:szCs w:val="20"/>
              </w:rPr>
              <w:t>Ассоциация «НП Совет р</w:t>
            </w:r>
            <w:r w:rsidR="00540B47" w:rsidRPr="00540B47">
              <w:rPr>
                <w:rFonts w:ascii="Garamond" w:hAnsi="Garamond"/>
                <w:szCs w:val="20"/>
              </w:rPr>
              <w:t>ынка»</w:t>
            </w:r>
            <w:r w:rsidR="00DA22C3">
              <w:rPr>
                <w:rFonts w:ascii="Garamond" w:hAnsi="Garamond"/>
                <w:szCs w:val="20"/>
              </w:rPr>
              <w:t>.</w:t>
            </w:r>
          </w:p>
          <w:p w14:paraId="745E0F57" w14:textId="3EE42803" w:rsidR="00AA1EFE" w:rsidRPr="002B5432" w:rsidRDefault="00AA1EFE" w:rsidP="00DA22C3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i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 w:rsidR="00540B47">
              <w:rPr>
                <w:rFonts w:ascii="Garamond" w:hAnsi="Garamond"/>
              </w:rPr>
              <w:t xml:space="preserve"> </w:t>
            </w:r>
            <w:r w:rsidR="00910917">
              <w:rPr>
                <w:rFonts w:ascii="Garamond" w:hAnsi="Garamond"/>
              </w:rPr>
              <w:t xml:space="preserve">техническая правка, связанная с уточнением порядка учета выработки и потребления электрической энергии ГАЭС на РСВ и БР.  </w:t>
            </w:r>
          </w:p>
          <w:p w14:paraId="577F69C6" w14:textId="06797EFC" w:rsidR="00AA1EFE" w:rsidRPr="002B5432" w:rsidRDefault="00AA1EFE" w:rsidP="00DA22C3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="00910917">
              <w:rPr>
                <w:rFonts w:ascii="Garamond" w:hAnsi="Garamond"/>
                <w:b/>
                <w:szCs w:val="20"/>
              </w:rPr>
              <w:t xml:space="preserve">ата вступления в силу: </w:t>
            </w:r>
            <w:r w:rsidR="00540B47" w:rsidRPr="00540B47">
              <w:rPr>
                <w:rFonts w:ascii="Garamond" w:hAnsi="Garamond"/>
                <w:szCs w:val="20"/>
              </w:rPr>
              <w:t xml:space="preserve">1 </w:t>
            </w:r>
            <w:r w:rsidR="00B55CDA">
              <w:rPr>
                <w:rFonts w:ascii="Garamond" w:hAnsi="Garamond"/>
                <w:szCs w:val="20"/>
              </w:rPr>
              <w:t>сентября</w:t>
            </w:r>
            <w:r w:rsidR="00540B47" w:rsidRPr="00540B47">
              <w:rPr>
                <w:rFonts w:ascii="Garamond" w:hAnsi="Garamond"/>
                <w:szCs w:val="20"/>
              </w:rPr>
              <w:t xml:space="preserve"> 2020 года</w:t>
            </w:r>
            <w:r w:rsidR="00DA22C3">
              <w:rPr>
                <w:rFonts w:ascii="Garamond" w:hAnsi="Garamond"/>
                <w:szCs w:val="20"/>
              </w:rPr>
              <w:t>.</w:t>
            </w:r>
          </w:p>
        </w:tc>
      </w:tr>
    </w:tbl>
    <w:p w14:paraId="67A92E0B" w14:textId="77777777" w:rsidR="00AA1EFE" w:rsidRDefault="00AA1EFE" w:rsidP="00DA22C3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  <w:bookmarkStart w:id="1" w:name="_Toc101261834"/>
      <w:bookmarkStart w:id="2" w:name="_Toc101672096"/>
      <w:bookmarkStart w:id="3" w:name="_Toc103055809"/>
      <w:bookmarkStart w:id="4" w:name="_Toc105228112"/>
      <w:bookmarkStart w:id="5" w:name="_Toc107045995"/>
    </w:p>
    <w:p w14:paraId="60583A08" w14:textId="77777777" w:rsidR="00B55CDA" w:rsidRPr="002B5432" w:rsidRDefault="00B55CDA" w:rsidP="00AD1C8F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Предложения по изменениям </w:t>
      </w:r>
      <w:r w:rsidRPr="002B5432">
        <w:rPr>
          <w:rFonts w:ascii="Garamond" w:hAnsi="Garamond"/>
          <w:sz w:val="26"/>
          <w:szCs w:val="26"/>
        </w:rPr>
        <w:t>и дополнениям в</w:t>
      </w:r>
      <w:r>
        <w:rPr>
          <w:rFonts w:ascii="Garamond" w:hAnsi="Garamond"/>
          <w:sz w:val="26"/>
          <w:szCs w:val="26"/>
        </w:rPr>
        <w:t xml:space="preserve"> </w:t>
      </w:r>
      <w:r w:rsidRPr="002B5432">
        <w:rPr>
          <w:rFonts w:ascii="Garamond" w:hAnsi="Garamond"/>
          <w:sz w:val="26"/>
          <w:szCs w:val="26"/>
        </w:rPr>
        <w:t xml:space="preserve">РЕГЛАМЕНТ </w:t>
      </w:r>
      <w:r>
        <w:rPr>
          <w:rFonts w:ascii="Garamond" w:hAnsi="Garamond"/>
          <w:sz w:val="26"/>
          <w:szCs w:val="26"/>
        </w:rPr>
        <w:t>ПРОВЕДЕНИЯ КОНКУРЕНТНОГО ОТБОРА ЦЕНОВЫХ ЗАЯВОК НА СУТКИ ВПЕРЕД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 xml:space="preserve">7 к Договору о присоединении </w:t>
      </w:r>
      <w:r w:rsidRPr="002B5432">
        <w:rPr>
          <w:rFonts w:ascii="Garamond" w:hAnsi="Garamond"/>
          <w:sz w:val="26"/>
          <w:szCs w:val="26"/>
        </w:rPr>
        <w:t>к торговой системе оптового рынка)</w:t>
      </w:r>
    </w:p>
    <w:p w14:paraId="33B71D2C" w14:textId="77777777" w:rsidR="00B55CDA" w:rsidRPr="002B5432" w:rsidRDefault="00B55CDA" w:rsidP="00DA22C3">
      <w:pPr>
        <w:widowControl w:val="0"/>
        <w:rPr>
          <w:rFonts w:ascii="Garamond" w:hAnsi="Garamond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804"/>
        <w:gridCol w:w="7371"/>
      </w:tblGrid>
      <w:tr w:rsidR="00B55CDA" w:rsidRPr="00DA22C3" w14:paraId="45364878" w14:textId="77777777" w:rsidTr="00DA22C3">
        <w:tc>
          <w:tcPr>
            <w:tcW w:w="918" w:type="dxa"/>
            <w:vAlign w:val="center"/>
          </w:tcPr>
          <w:p w14:paraId="12E6F9C7" w14:textId="77777777" w:rsidR="00B55CDA" w:rsidRPr="00DA22C3" w:rsidRDefault="00B55CDA" w:rsidP="00DA22C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42090423" w14:textId="77777777" w:rsidR="00B55CDA" w:rsidRPr="00DA22C3" w:rsidRDefault="00B55CDA" w:rsidP="00DA22C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04" w:type="dxa"/>
          </w:tcPr>
          <w:p w14:paraId="6EF07912" w14:textId="77777777" w:rsidR="00B55CDA" w:rsidRPr="00DA22C3" w:rsidRDefault="00B55CDA" w:rsidP="00DA22C3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A22C3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A6196E3" w14:textId="77777777" w:rsidR="00B55CDA" w:rsidRPr="00DA22C3" w:rsidRDefault="00B55CDA" w:rsidP="00DA22C3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371" w:type="dxa"/>
          </w:tcPr>
          <w:p w14:paraId="2CE632F2" w14:textId="77777777" w:rsidR="00B55CDA" w:rsidRPr="00DA22C3" w:rsidRDefault="00B55CDA" w:rsidP="00DA22C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63D3566" w14:textId="77777777" w:rsidR="00B55CDA" w:rsidRPr="00DA22C3" w:rsidRDefault="00B55CDA" w:rsidP="00DA22C3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DA22C3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8A794A" w:rsidRPr="00DA22C3" w14:paraId="6826F730" w14:textId="77777777" w:rsidTr="00DA22C3">
        <w:tc>
          <w:tcPr>
            <w:tcW w:w="918" w:type="dxa"/>
            <w:vAlign w:val="center"/>
          </w:tcPr>
          <w:p w14:paraId="4E870932" w14:textId="77777777" w:rsidR="008A794A" w:rsidRPr="00DA22C3" w:rsidRDefault="008A794A" w:rsidP="007B6C2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t>3.1</w:t>
            </w:r>
          </w:p>
        </w:tc>
        <w:tc>
          <w:tcPr>
            <w:tcW w:w="6804" w:type="dxa"/>
          </w:tcPr>
          <w:p w14:paraId="2D78A8B1" w14:textId="77777777" w:rsidR="008A794A" w:rsidRPr="00DA22C3" w:rsidRDefault="008A794A" w:rsidP="00A94FA7">
            <w:pPr>
              <w:pStyle w:val="subclauseindent"/>
              <w:ind w:left="0" w:firstLine="426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Для проведения конкурентного отбора и определения планового почасового производства и потребления КО использует актуализированную расчетную модель ЕЭС, подготовленную Системным оператором в соответствии с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Регламентом актуализации расчетной модели </w:t>
            </w:r>
            <w:r w:rsidRPr="00DA22C3">
              <w:rPr>
                <w:rFonts w:ascii="Garamond" w:hAnsi="Garamond"/>
                <w:color w:val="000000"/>
                <w:szCs w:val="22"/>
              </w:rPr>
              <w:t>(Приложение № 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>)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A22C3">
              <w:rPr>
                <w:rFonts w:ascii="Garamond" w:hAnsi="Garamond"/>
                <w:color w:val="000000"/>
                <w:szCs w:val="22"/>
              </w:rPr>
              <w:t>и содержащую следующую почасовую информацию:</w:t>
            </w:r>
          </w:p>
          <w:p w14:paraId="08EC6CDD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максимальный объем почасового потребления для ГТП потребления;</w:t>
            </w:r>
          </w:p>
          <w:p w14:paraId="7119169A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плановые почасовые объемы поставки по каждому из сечений экспорта-импорта;</w:t>
            </w:r>
          </w:p>
          <w:p w14:paraId="6A84F440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параметры 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прогнозного диспетчерского графика (далее – ПДГ), определенные в соответствии с п. 4.5 </w:t>
            </w:r>
            <w:r w:rsidRPr="00DA22C3">
              <w:rPr>
                <w:rFonts w:ascii="Garamond" w:hAnsi="Garamond"/>
                <w:i/>
                <w:iCs/>
                <w:color w:val="000000"/>
                <w:szCs w:val="22"/>
              </w:rPr>
              <w:t>Регламента а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ктуализации расчетной модели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рынка)</w:t>
            </w:r>
            <w:r w:rsidRPr="00DA22C3">
              <w:rPr>
                <w:rFonts w:ascii="Garamond" w:hAnsi="Garamond"/>
                <w:color w:val="000000"/>
                <w:szCs w:val="22"/>
              </w:rPr>
              <w:t>;</w:t>
            </w:r>
          </w:p>
          <w:p w14:paraId="099B2115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коэффициенты распределения планового почасового потребления для ГТП потребления типа «Нагрузка» по </w:t>
            </w:r>
            <w:r w:rsidRPr="00DA22C3">
              <w:rPr>
                <w:rFonts w:ascii="Garamond" w:hAnsi="Garamond"/>
                <w:color w:val="000000"/>
                <w:szCs w:val="22"/>
              </w:rPr>
              <w:lastRenderedPageBreak/>
              <w:t xml:space="preserve">узлам расчетной модели (полученные в соответствии с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color w:val="000000"/>
                <w:szCs w:val="22"/>
              </w:rPr>
              <w:t>(Приложение № 1.1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) и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Регламентом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актуализации расчетной модели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>);</w:t>
            </w:r>
          </w:p>
          <w:p w14:paraId="1F50D056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информацию о соотнесении ГТП потребления типа «Система» с узлами расчетной модели и с нагрузочными потерями в их сетях, соответствующими прогнозному диспетчерскому графику;</w:t>
            </w:r>
          </w:p>
          <w:p w14:paraId="7A55456F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пределы регулирования для ГТП генерации и для объектов управления участников с регулируемым потреблением – отдельно по техническим и технологическим (с учетом вынужденных режимов и ограничений по топливу) характеристикам и по причинам поддержания оперативного резерва мощности в системе;</w:t>
            </w:r>
          </w:p>
          <w:p w14:paraId="3455BD7E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максимальные и минимальные допустимые значения производства активной мощности включенного генерирующего оборудования режимных генерирующих единиц (технические и технологические минимумы и максимумы по РГЕ), в том числе в отношении представленных в актуализированной расчетной модели РГЕ, не отнесенных к зарегистрированной на оптовом рынке ГТП генерации и при этом не 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включенных в ГТП потребления в соответствии </w:t>
            </w:r>
            <w:r w:rsidRPr="00DA22C3">
              <w:rPr>
                <w:rFonts w:ascii="Garamond" w:hAnsi="Garamond"/>
                <w:szCs w:val="22"/>
              </w:rPr>
              <w:t xml:space="preserve">с </w:t>
            </w:r>
            <w:r w:rsidRPr="00DA22C3">
              <w:rPr>
                <w:rFonts w:ascii="Garamond" w:hAnsi="Garamond"/>
                <w:i/>
                <w:szCs w:val="22"/>
              </w:rPr>
              <w:t xml:space="preserve">Актом о согласовании групп точек поставки субъекта оптового рынка и отнесении их к узлам расчетной модели </w:t>
            </w:r>
            <w:r w:rsidRPr="00DA22C3">
              <w:rPr>
                <w:rFonts w:ascii="Garamond" w:hAnsi="Garamond"/>
                <w:szCs w:val="22"/>
              </w:rPr>
              <w:t xml:space="preserve">(стандартная форма устанавливается </w:t>
            </w:r>
            <w:r w:rsidRPr="00DA22C3">
              <w:rPr>
                <w:rFonts w:ascii="Garamond" w:hAnsi="Garamond"/>
                <w:i/>
                <w:szCs w:val="22"/>
              </w:rPr>
              <w:t xml:space="preserve">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szCs w:val="22"/>
              </w:rPr>
              <w:t xml:space="preserve">(Приложение № 1.1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));</w:t>
            </w:r>
          </w:p>
          <w:p w14:paraId="58536283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ограничения на максимальные и минимальные значения производства активной мощности режимных генерирующего единиц, определенные СО по системным условиям (максимум и минимум СО), в случае если таковые были сформированы СО;</w:t>
            </w:r>
          </w:p>
          <w:p w14:paraId="11F73055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lastRenderedPageBreak/>
              <w:t>указание на наличие временного совокупного дефицита электрической энергии в соответствующей ценовой зоне оптового рынка;</w:t>
            </w:r>
          </w:p>
          <w:p w14:paraId="5305E034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минимальные и максимальные допустимые значения </w:t>
            </w:r>
            <w:proofErr w:type="spellStart"/>
            <w:r w:rsidRPr="00DA22C3">
              <w:rPr>
                <w:rFonts w:ascii="Garamond" w:hAnsi="Garamond"/>
                <w:szCs w:val="22"/>
              </w:rPr>
              <w:t>перетоков</w:t>
            </w:r>
            <w:proofErr w:type="spellEnd"/>
            <w:r w:rsidRPr="00DA22C3">
              <w:rPr>
                <w:rFonts w:ascii="Garamond" w:hAnsi="Garamond"/>
                <w:szCs w:val="22"/>
              </w:rPr>
              <w:t xml:space="preserve"> для сечений экспорта-импорта, в отношении которых выполнено условие, указанное в п. 6.2 </w:t>
            </w:r>
            <w:r w:rsidRPr="00DA22C3">
              <w:rPr>
                <w:rFonts w:ascii="Garamond" w:hAnsi="Garamond"/>
                <w:i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15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</w:t>
            </w:r>
            <w:r w:rsidRPr="00DA22C3">
              <w:rPr>
                <w:rFonts w:ascii="Garamond" w:hAnsi="Garamond"/>
                <w:szCs w:val="22"/>
              </w:rPr>
              <w:t xml:space="preserve">нка), сформированные СО в соответствии с п. 5.5.1 </w:t>
            </w:r>
            <w:r w:rsidRPr="00DA22C3">
              <w:rPr>
                <w:rFonts w:ascii="Garamond" w:hAnsi="Garamond"/>
                <w:i/>
                <w:szCs w:val="22"/>
              </w:rPr>
              <w:t>Регламента подачи уведомлений участниками оптового рынк</w:t>
            </w:r>
            <w:r w:rsidRPr="00DA22C3">
              <w:rPr>
                <w:rFonts w:ascii="Garamond" w:hAnsi="Garamond"/>
                <w:szCs w:val="22"/>
              </w:rPr>
              <w:t xml:space="preserve">а (Приложение № 4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);</w:t>
            </w:r>
          </w:p>
          <w:p w14:paraId="237714FE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признак готовности к </w:t>
            </w:r>
            <w:proofErr w:type="spellStart"/>
            <w:r w:rsidRPr="00DA22C3">
              <w:rPr>
                <w:rFonts w:ascii="Garamond" w:hAnsi="Garamond"/>
                <w:szCs w:val="22"/>
              </w:rPr>
              <w:t>ценозависимому</w:t>
            </w:r>
            <w:proofErr w:type="spellEnd"/>
            <w:r w:rsidRPr="00DA22C3">
              <w:rPr>
                <w:rFonts w:ascii="Garamond" w:hAnsi="Garamond"/>
                <w:szCs w:val="22"/>
              </w:rPr>
              <w:t xml:space="preserve"> снижению объемов покупки электрической энергии в отношении ГТП потребления в операционные сутки (присваивается на основании уведомления, поданного участником оптового рынка в соответствии с разделом 4 </w:t>
            </w:r>
            <w:r w:rsidRPr="00DA22C3">
              <w:rPr>
                <w:rFonts w:ascii="Garamond" w:hAnsi="Garamond"/>
                <w:i/>
                <w:szCs w:val="22"/>
              </w:rPr>
              <w:t>Регламента подачи уведомлений участниками оптового рынка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4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));</w:t>
            </w:r>
          </w:p>
          <w:p w14:paraId="2A6D0F8B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ind w:left="1208" w:hanging="357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информацию о готовности к снижению объема потребления электрической энергии потребителями, участвующими в групповом управлении изменением нагрузки, суммарно по каждой группе точек поставки участника оптового рынка, в составе которой имеется оборудование таких потребителей, о величине снижения потребления электрической энергии такими потребителями, а также о длительности периода снижения потребления электрической энергии (количество последовательных часов). 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Передача СО информации о готовности к снижению потребления электрической энергии потребителями, участвующими в групповом управлении изменением нагрузки, при выполнении условий, указанных в п. 9.3 или в п. 9.11 настоящего Регламента, означает уведомление КО о необходимости проведения тестирования в отношении потребителей, </w:t>
            </w:r>
            <w:r w:rsidRPr="00DA22C3">
              <w:rPr>
                <w:rFonts w:ascii="Garamond" w:hAnsi="Garamond"/>
                <w:color w:val="000000"/>
                <w:szCs w:val="22"/>
              </w:rPr>
              <w:lastRenderedPageBreak/>
              <w:t>участвующих в групповом управлении изменением нагрузки</w:t>
            </w:r>
            <w:r w:rsidRPr="00DA22C3">
              <w:rPr>
                <w:rFonts w:ascii="Garamond" w:hAnsi="Garamond"/>
                <w:szCs w:val="22"/>
              </w:rPr>
              <w:t xml:space="preserve">, </w:t>
            </w:r>
            <w:r w:rsidRPr="00DA22C3">
              <w:rPr>
                <w:rFonts w:ascii="Garamond" w:hAnsi="Garamond"/>
                <w:color w:val="000000"/>
                <w:szCs w:val="22"/>
              </w:rPr>
              <w:t>в рассматриваемые операционные сутки</w:t>
            </w:r>
            <w:r w:rsidRPr="00DA22C3">
              <w:rPr>
                <w:rFonts w:ascii="Garamond" w:hAnsi="Garamond"/>
                <w:szCs w:val="22"/>
              </w:rPr>
              <w:t>;</w:t>
            </w:r>
          </w:p>
          <w:p w14:paraId="34FA14F9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ind w:left="1208" w:hanging="357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признак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A22C3">
              <w:rPr>
                <w:rFonts w:ascii="Garamond" w:hAnsi="Garamond"/>
                <w:szCs w:val="22"/>
              </w:rPr>
              <w:t xml:space="preserve">проведения тестирования в отношении </w:t>
            </w:r>
            <w:r w:rsidRPr="00DA22C3">
              <w:rPr>
                <w:rFonts w:ascii="Garamond" w:eastAsia="Calibri" w:hAnsi="Garamond"/>
                <w:szCs w:val="22"/>
              </w:rPr>
              <w:t>потребител</w:t>
            </w:r>
            <w:r w:rsidRPr="00DA22C3">
              <w:rPr>
                <w:rFonts w:ascii="Garamond" w:hAnsi="Garamond"/>
                <w:szCs w:val="22"/>
              </w:rPr>
              <w:t>ей</w:t>
            </w:r>
            <w:r w:rsidRPr="00DA22C3">
              <w:rPr>
                <w:rFonts w:ascii="Garamond" w:eastAsia="Calibri" w:hAnsi="Garamond"/>
                <w:szCs w:val="22"/>
              </w:rPr>
              <w:t>, участвующи</w:t>
            </w:r>
            <w:r w:rsidRPr="00DA22C3">
              <w:rPr>
                <w:rFonts w:ascii="Garamond" w:hAnsi="Garamond"/>
                <w:szCs w:val="22"/>
              </w:rPr>
              <w:t>х</w:t>
            </w:r>
            <w:r w:rsidRPr="00DA22C3">
              <w:rPr>
                <w:rFonts w:ascii="Garamond" w:eastAsia="Calibri" w:hAnsi="Garamond"/>
                <w:szCs w:val="22"/>
              </w:rPr>
              <w:t xml:space="preserve"> в групповом управлении изменением нагрузки, в рассматриваемые операционные сутки. Причем СО не может</w:t>
            </w:r>
            <w:r w:rsidRPr="00DA22C3">
              <w:rPr>
                <w:rFonts w:ascii="Garamond" w:hAnsi="Garamond"/>
                <w:szCs w:val="22"/>
              </w:rPr>
              <w:t xml:space="preserve"> проводить указанное тестирование в отношении </w:t>
            </w:r>
            <w:r w:rsidRPr="00DA22C3">
              <w:rPr>
                <w:rFonts w:ascii="Garamond" w:eastAsia="Calibri" w:hAnsi="Garamond"/>
                <w:szCs w:val="22"/>
              </w:rPr>
              <w:t>потребител</w:t>
            </w:r>
            <w:r w:rsidRPr="00DA22C3">
              <w:rPr>
                <w:rFonts w:ascii="Garamond" w:hAnsi="Garamond"/>
                <w:szCs w:val="22"/>
              </w:rPr>
              <w:t>ей</w:t>
            </w:r>
            <w:r w:rsidRPr="00DA22C3">
              <w:rPr>
                <w:rFonts w:ascii="Garamond" w:eastAsia="Calibri" w:hAnsi="Garamond"/>
                <w:szCs w:val="22"/>
              </w:rPr>
              <w:t>, участвующи</w:t>
            </w:r>
            <w:r w:rsidRPr="00DA22C3">
              <w:rPr>
                <w:rFonts w:ascii="Garamond" w:hAnsi="Garamond"/>
                <w:szCs w:val="22"/>
              </w:rPr>
              <w:t>х</w:t>
            </w:r>
            <w:r w:rsidRPr="00DA22C3">
              <w:rPr>
                <w:rFonts w:ascii="Garamond" w:eastAsia="Calibri" w:hAnsi="Garamond"/>
                <w:szCs w:val="22"/>
              </w:rPr>
              <w:t xml:space="preserve"> в групповом управлении изменением нагрузки, более </w:t>
            </w:r>
            <w:r w:rsidRPr="00DA22C3">
              <w:rPr>
                <w:rFonts w:ascii="Garamond" w:eastAsia="Calibri" w:hAnsi="Garamond"/>
                <w:i/>
                <w:szCs w:val="22"/>
                <w:lang w:val="en-US"/>
              </w:rPr>
              <w:t>n</w:t>
            </w:r>
            <w:r w:rsidRPr="00DA22C3">
              <w:rPr>
                <w:rFonts w:ascii="Garamond" w:eastAsia="Calibri" w:hAnsi="Garamond"/>
                <w:szCs w:val="22"/>
              </w:rPr>
              <w:t xml:space="preserve"> раз в расчетном периоде (значение параметра </w:t>
            </w:r>
            <w:r w:rsidRPr="00DA22C3">
              <w:rPr>
                <w:rFonts w:ascii="Garamond" w:eastAsia="Calibri" w:hAnsi="Garamond"/>
                <w:i/>
                <w:szCs w:val="22"/>
                <w:lang w:val="en-US"/>
              </w:rPr>
              <w:t>n</w:t>
            </w:r>
            <w:r w:rsidRPr="00DA22C3">
              <w:rPr>
                <w:rFonts w:ascii="Garamond" w:eastAsia="Calibri" w:hAnsi="Garamond"/>
                <w:szCs w:val="22"/>
              </w:rPr>
              <w:t xml:space="preserve"> принимается равным 2 (двум) (в случае, если в текущем месяце произошло 3 (три) и более случая, когда результаты конкурентного отбора ценовых заявок на сутки вперед определялись на основании расчета с учетом </w:t>
            </w:r>
            <w:proofErr w:type="spellStart"/>
            <w:r w:rsidRPr="00DA22C3">
              <w:rPr>
                <w:rFonts w:ascii="Garamond" w:eastAsia="Calibri" w:hAnsi="Garamond"/>
                <w:szCs w:val="22"/>
              </w:rPr>
              <w:t>ценозависимого</w:t>
            </w:r>
            <w:proofErr w:type="spellEnd"/>
            <w:r w:rsidRPr="00DA22C3">
              <w:rPr>
                <w:rFonts w:ascii="Garamond" w:eastAsia="Calibri" w:hAnsi="Garamond"/>
                <w:szCs w:val="22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нагрузки, то значение параметра </w:t>
            </w:r>
            <w:r w:rsidRPr="00DA22C3">
              <w:rPr>
                <w:rFonts w:ascii="Garamond" w:eastAsia="Calibri" w:hAnsi="Garamond"/>
                <w:i/>
                <w:szCs w:val="22"/>
              </w:rPr>
              <w:t>n</w:t>
            </w:r>
            <w:r w:rsidRPr="00DA22C3">
              <w:rPr>
                <w:rFonts w:ascii="Garamond" w:eastAsia="Calibri" w:hAnsi="Garamond"/>
                <w:szCs w:val="22"/>
              </w:rPr>
              <w:t xml:space="preserve"> в текущем месяце принимается равным 0 (нулю));</w:t>
            </w:r>
          </w:p>
          <w:p w14:paraId="79036740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ind w:left="1208" w:hanging="357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другую информацию, определяемую в соответствии с </w:t>
            </w:r>
            <w:r w:rsidRPr="00DA22C3">
              <w:rPr>
                <w:rFonts w:ascii="Garamond" w:hAnsi="Garamond"/>
                <w:i/>
                <w:iCs/>
                <w:color w:val="000000"/>
                <w:szCs w:val="22"/>
              </w:rPr>
              <w:t>Регламентом а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ктуализации расчетной модели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рынка).</w:t>
            </w:r>
          </w:p>
          <w:p w14:paraId="129CF771" w14:textId="77777777" w:rsidR="008A794A" w:rsidRPr="00DA22C3" w:rsidRDefault="008A794A" w:rsidP="00A94FA7">
            <w:pPr>
              <w:pStyle w:val="subclauseindent"/>
              <w:ind w:left="0" w:firstLine="426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Для проведения конкурентного отбора и определения планового почасового производства и потребления КО также использует информацию:</w:t>
            </w:r>
          </w:p>
          <w:p w14:paraId="2ACD60D3" w14:textId="77777777" w:rsidR="008A794A" w:rsidRPr="00DA22C3" w:rsidRDefault="008A794A" w:rsidP="00A94FA7">
            <w:pPr>
              <w:pStyle w:val="subclauseindent"/>
              <w:ind w:left="0" w:firstLine="426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− плановые почасовые объемы поставки электрической энергии в целях осуществления межгосударственной передачи по каждой из ГТП импорта (экспорта) (с разбиением по каждому из объемов поставки электрической энергии, в отношении которого участником оптового рынка было подано ДДПР соответствующее уведомление), переданные ДДПР в КО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>Регламентом подачи уведомлений участниками оптового рынк</w:t>
            </w:r>
            <w:r w:rsidRPr="00DA22C3">
              <w:rPr>
                <w:rFonts w:ascii="Garamond" w:hAnsi="Garamond"/>
                <w:szCs w:val="22"/>
              </w:rPr>
              <w:t xml:space="preserve">а (Приложение № 4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</w:t>
            </w:r>
            <w:r w:rsidRPr="00DA22C3">
              <w:rPr>
                <w:rFonts w:ascii="Garamond" w:hAnsi="Garamond"/>
                <w:color w:val="000000"/>
                <w:szCs w:val="22"/>
              </w:rPr>
              <w:t>.</w:t>
            </w:r>
          </w:p>
          <w:p w14:paraId="24085007" w14:textId="77777777" w:rsidR="008A794A" w:rsidRPr="00DA22C3" w:rsidRDefault="008A794A" w:rsidP="00A94FA7">
            <w:pPr>
              <w:spacing w:before="120" w:after="120"/>
              <w:ind w:firstLine="459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Если Системный оператор передал КО актуализированную расчетную модель, содержащую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энергорайоны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, временно электрически изолированные вследствие системных условий от основной части ЕЭС РФ, относительно которых представлена вся указанная выше </w:t>
            </w: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информация, КО осуществляет процедуру проведения конкурентного отбора и определения планового почасового производства и потребления в соответствии с требованиями настоящего Регламента, в том числе и в отношении таких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энергорайонов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6DF2DA0E" w14:textId="77777777" w:rsidR="008A794A" w:rsidRPr="00DA22C3" w:rsidRDefault="008A794A" w:rsidP="00FE208A">
            <w:pPr>
              <w:widowControl w:val="0"/>
              <w:spacing w:before="120" w:after="120"/>
              <w:ind w:firstLine="459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В этом случае КО до </w:t>
            </w:r>
            <w:r w:rsidRPr="00DA22C3">
              <w:rPr>
                <w:rFonts w:ascii="Garamond" w:hAnsi="Garamond"/>
                <w:sz w:val="22"/>
                <w:szCs w:val="22"/>
              </w:rPr>
              <w:t>19 часов 00 минут</w:t>
            </w: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 по времени ценовой зоны торговых суток размещает на своем официальном сайте </w:t>
            </w:r>
            <w:r w:rsidRPr="00DA22C3">
              <w:rPr>
                <w:rFonts w:ascii="Garamond" w:hAnsi="Garamond"/>
                <w:sz w:val="22"/>
                <w:szCs w:val="22"/>
              </w:rPr>
              <w:t>электронное сообщение, содержащее</w:t>
            </w: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 уведомление о том, какие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энергорайоны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 при проведении процедуры конкурентного отбора на операционные сутки были временно электрически изолированы вследствие системных условий от основной части ЕЭС РФ, с указанием узлов, входящих в указанные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энергорайоны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</w:tc>
        <w:tc>
          <w:tcPr>
            <w:tcW w:w="7371" w:type="dxa"/>
          </w:tcPr>
          <w:p w14:paraId="18A45029" w14:textId="77777777" w:rsidR="008A794A" w:rsidRPr="00DA22C3" w:rsidRDefault="008A794A" w:rsidP="00A94FA7">
            <w:pPr>
              <w:pStyle w:val="subclauseindent"/>
              <w:ind w:left="0" w:firstLine="426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lastRenderedPageBreak/>
              <w:t xml:space="preserve">Для проведения конкурентного отбора и определения планового почасового производства и потребления КО использует актуализированную расчетную модель ЕЭС, подготовленную Системным оператором в соответствии с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Регламентом актуализации расчетной модели </w:t>
            </w:r>
            <w:r w:rsidRPr="00DA22C3">
              <w:rPr>
                <w:rFonts w:ascii="Garamond" w:hAnsi="Garamond"/>
                <w:color w:val="000000"/>
                <w:szCs w:val="22"/>
              </w:rPr>
              <w:t>(Приложение № 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>)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A22C3">
              <w:rPr>
                <w:rFonts w:ascii="Garamond" w:hAnsi="Garamond"/>
                <w:color w:val="000000"/>
                <w:szCs w:val="22"/>
              </w:rPr>
              <w:t>и содержащую следующую почасовую информацию:</w:t>
            </w:r>
          </w:p>
          <w:p w14:paraId="72A3FF25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максимальный объем почасового потребления для ГТП потребления;</w:t>
            </w:r>
          </w:p>
          <w:p w14:paraId="18802EDF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плановые почасовые объемы поставки по каждому из сечений экспорта-импорта;</w:t>
            </w:r>
          </w:p>
          <w:p w14:paraId="0892E161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параметры 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прогнозного диспетчерского графика (далее – ПДГ), определенные в соответствии с п. 4.5 </w:t>
            </w:r>
            <w:r w:rsidRPr="00DA22C3">
              <w:rPr>
                <w:rFonts w:ascii="Garamond" w:hAnsi="Garamond"/>
                <w:i/>
                <w:iCs/>
                <w:color w:val="000000"/>
                <w:szCs w:val="22"/>
              </w:rPr>
              <w:t>Регламента а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ктуализации расчетной модели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рынка)</w:t>
            </w:r>
            <w:r w:rsidRPr="00DA22C3">
              <w:rPr>
                <w:rFonts w:ascii="Garamond" w:hAnsi="Garamond"/>
                <w:color w:val="000000"/>
                <w:szCs w:val="22"/>
              </w:rPr>
              <w:t>;</w:t>
            </w:r>
          </w:p>
          <w:p w14:paraId="05DCFAD8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коэффициенты распределения планового почасового потребления для ГТП потребления типа «Нагрузка» по узлам расчетной модели (полученные в соответствии с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Положением о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lastRenderedPageBreak/>
              <w:t xml:space="preserve">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color w:val="000000"/>
                <w:szCs w:val="22"/>
              </w:rPr>
              <w:t>(Приложение № 1.1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) и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Регламентом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актуализации расчетной модели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>);</w:t>
            </w:r>
          </w:p>
          <w:p w14:paraId="098FD137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информацию о соотнесении ГТП потребления типа «Система» с узлами расчетной модели и с нагрузочными потерями в их сетях, соответствующими прогнозному диспетчерскому графику;</w:t>
            </w:r>
          </w:p>
          <w:p w14:paraId="6D59ECEA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пределы регулирования для ГТП генерации и для объектов управления участников с регулируемым потреблением – отдельно по техническим и технологическим (с учетом вынужденных режимов и ограничений по топливу) характеристикам и по причинам поддержания оперативного резерва мощности в системе;</w:t>
            </w:r>
          </w:p>
          <w:p w14:paraId="2DE2C738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максимальные и минимальные допустимые значения производства активной мощности включенного генерирующего оборудования режимных генерирующих единиц (технические и технологические минимумы и максимумы по РГЕ), в том числе в отношении представленных в актуализированной расчетной модели РГЕ, не отнесенных к зарегистрированной на оптовом рынке ГТП генерации и при этом не 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включенных в ГТП потребления в соответствии </w:t>
            </w:r>
            <w:r w:rsidRPr="00DA22C3">
              <w:rPr>
                <w:rFonts w:ascii="Garamond" w:hAnsi="Garamond"/>
                <w:szCs w:val="22"/>
              </w:rPr>
              <w:t xml:space="preserve">с </w:t>
            </w:r>
            <w:r w:rsidRPr="00DA22C3">
              <w:rPr>
                <w:rFonts w:ascii="Garamond" w:hAnsi="Garamond"/>
                <w:i/>
                <w:szCs w:val="22"/>
              </w:rPr>
              <w:t xml:space="preserve">Актом о согласовании групп точек поставки субъекта оптового рынка и отнесении их к узлам расчетной модели </w:t>
            </w:r>
            <w:r w:rsidRPr="00DA22C3">
              <w:rPr>
                <w:rFonts w:ascii="Garamond" w:hAnsi="Garamond"/>
                <w:szCs w:val="22"/>
              </w:rPr>
              <w:t xml:space="preserve">(стандартная форма устанавливается </w:t>
            </w:r>
            <w:r w:rsidRPr="00DA22C3">
              <w:rPr>
                <w:rFonts w:ascii="Garamond" w:hAnsi="Garamond"/>
                <w:i/>
                <w:szCs w:val="22"/>
              </w:rPr>
              <w:t xml:space="preserve">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szCs w:val="22"/>
              </w:rPr>
              <w:t xml:space="preserve">(Приложение № 1.1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));</w:t>
            </w:r>
          </w:p>
          <w:p w14:paraId="70016CB5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ограничения на максимальные и минимальные значения производства активной мощности режимных генерирующего единиц, определенные СО по системным условиям (максимум и минимум СО), в случае если таковые были сформированы СО;</w:t>
            </w:r>
          </w:p>
          <w:p w14:paraId="01B452E5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указание на наличие временного совокупного дефицита электрической энергии в соответствующей ценовой зоне оптового рынка;</w:t>
            </w:r>
          </w:p>
          <w:p w14:paraId="7DDCC778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минимальные и максимальные допустимые значения </w:t>
            </w:r>
            <w:proofErr w:type="spellStart"/>
            <w:r w:rsidRPr="00DA22C3">
              <w:rPr>
                <w:rFonts w:ascii="Garamond" w:hAnsi="Garamond"/>
                <w:szCs w:val="22"/>
              </w:rPr>
              <w:t>перетоков</w:t>
            </w:r>
            <w:proofErr w:type="spellEnd"/>
            <w:r w:rsidRPr="00DA22C3">
              <w:rPr>
                <w:rFonts w:ascii="Garamond" w:hAnsi="Garamond"/>
                <w:szCs w:val="22"/>
              </w:rPr>
              <w:t xml:space="preserve"> для сечений экспорта-импорта, в отношении которых выполнено </w:t>
            </w:r>
            <w:r w:rsidRPr="00DA22C3">
              <w:rPr>
                <w:rFonts w:ascii="Garamond" w:hAnsi="Garamond"/>
                <w:szCs w:val="22"/>
              </w:rPr>
              <w:lastRenderedPageBreak/>
              <w:t xml:space="preserve">условие, указанное в п. 6.2 </w:t>
            </w:r>
            <w:r w:rsidRPr="00DA22C3">
              <w:rPr>
                <w:rFonts w:ascii="Garamond" w:hAnsi="Garamond"/>
                <w:i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15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</w:t>
            </w:r>
            <w:r w:rsidRPr="00DA22C3">
              <w:rPr>
                <w:rFonts w:ascii="Garamond" w:hAnsi="Garamond"/>
                <w:szCs w:val="22"/>
              </w:rPr>
              <w:t xml:space="preserve">нка), сформированные СО в соответствии с п. 5.5.1 </w:t>
            </w:r>
            <w:r w:rsidRPr="00DA22C3">
              <w:rPr>
                <w:rFonts w:ascii="Garamond" w:hAnsi="Garamond"/>
                <w:i/>
                <w:szCs w:val="22"/>
              </w:rPr>
              <w:t>Регламента подачи уведомлений участниками оптового рынк</w:t>
            </w:r>
            <w:r w:rsidRPr="00DA22C3">
              <w:rPr>
                <w:rFonts w:ascii="Garamond" w:hAnsi="Garamond"/>
                <w:szCs w:val="22"/>
              </w:rPr>
              <w:t xml:space="preserve">а (Приложение № 4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);</w:t>
            </w:r>
          </w:p>
          <w:p w14:paraId="19DD5437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признак готовности к </w:t>
            </w:r>
            <w:proofErr w:type="spellStart"/>
            <w:r w:rsidRPr="00DA22C3">
              <w:rPr>
                <w:rFonts w:ascii="Garamond" w:hAnsi="Garamond"/>
                <w:szCs w:val="22"/>
              </w:rPr>
              <w:t>ценозависимому</w:t>
            </w:r>
            <w:proofErr w:type="spellEnd"/>
            <w:r w:rsidRPr="00DA22C3">
              <w:rPr>
                <w:rFonts w:ascii="Garamond" w:hAnsi="Garamond"/>
                <w:szCs w:val="22"/>
              </w:rPr>
              <w:t xml:space="preserve"> снижению объемов покупки электрической энергии в отношении ГТП потребления в операционные сутки (присваивается на основании уведомления, поданного участником оптового рынка в соответствии с разделом 4 </w:t>
            </w:r>
            <w:r w:rsidRPr="00DA22C3">
              <w:rPr>
                <w:rFonts w:ascii="Garamond" w:hAnsi="Garamond"/>
                <w:i/>
                <w:szCs w:val="22"/>
              </w:rPr>
              <w:t>Регламента подачи уведомлений участниками оптового рынка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4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));</w:t>
            </w:r>
          </w:p>
          <w:p w14:paraId="5AF471B5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ind w:left="1208" w:hanging="357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информацию о готовности к снижению объема потребления электрической энергии потребителями, участвующими в групповом управлении изменением нагрузки, суммарно по каждой группе точек поставки участника оптового рынка, в составе которой имеется оборудование таких потребителей, о величине снижения потребления электрической энергии такими потребителями, а также о длительности периода снижения потребления электрической энергии (количество последовательных часов). </w:t>
            </w:r>
            <w:r w:rsidRPr="00DA22C3">
              <w:rPr>
                <w:rFonts w:ascii="Garamond" w:hAnsi="Garamond"/>
                <w:color w:val="000000"/>
                <w:szCs w:val="22"/>
              </w:rPr>
              <w:t>Передача СО информации о готовности к снижению потребления электрической энергии потребителями, участвующими в групповом управлении изменением нагрузки, при выполнении условий, указанных в п. 9.3 или в п. 9.11 настоящего Регламента, означает уведомление КО о необходимости проведения тестирования в отношении потребителей, участвующих в групповом управлении изменением нагрузки</w:t>
            </w:r>
            <w:r w:rsidRPr="00DA22C3">
              <w:rPr>
                <w:rFonts w:ascii="Garamond" w:hAnsi="Garamond"/>
                <w:szCs w:val="22"/>
              </w:rPr>
              <w:t xml:space="preserve">, </w:t>
            </w:r>
            <w:r w:rsidRPr="00DA22C3">
              <w:rPr>
                <w:rFonts w:ascii="Garamond" w:hAnsi="Garamond"/>
                <w:color w:val="000000"/>
                <w:szCs w:val="22"/>
              </w:rPr>
              <w:t>в рассматриваемые операционные сутки</w:t>
            </w:r>
            <w:r w:rsidRPr="00DA22C3">
              <w:rPr>
                <w:rFonts w:ascii="Garamond" w:hAnsi="Garamond"/>
                <w:szCs w:val="22"/>
              </w:rPr>
              <w:t>;</w:t>
            </w:r>
          </w:p>
          <w:p w14:paraId="6EBB21A4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ind w:left="1208" w:hanging="357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признак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A22C3">
              <w:rPr>
                <w:rFonts w:ascii="Garamond" w:hAnsi="Garamond"/>
                <w:szCs w:val="22"/>
              </w:rPr>
              <w:t xml:space="preserve">проведения тестирования в отношении </w:t>
            </w:r>
            <w:r w:rsidRPr="00DA22C3">
              <w:rPr>
                <w:rFonts w:ascii="Garamond" w:eastAsia="Calibri" w:hAnsi="Garamond"/>
                <w:szCs w:val="22"/>
              </w:rPr>
              <w:t>потребител</w:t>
            </w:r>
            <w:r w:rsidRPr="00DA22C3">
              <w:rPr>
                <w:rFonts w:ascii="Garamond" w:hAnsi="Garamond"/>
                <w:szCs w:val="22"/>
              </w:rPr>
              <w:t>ей</w:t>
            </w:r>
            <w:r w:rsidRPr="00DA22C3">
              <w:rPr>
                <w:rFonts w:ascii="Garamond" w:eastAsia="Calibri" w:hAnsi="Garamond"/>
                <w:szCs w:val="22"/>
              </w:rPr>
              <w:t>, участвующи</w:t>
            </w:r>
            <w:r w:rsidRPr="00DA22C3">
              <w:rPr>
                <w:rFonts w:ascii="Garamond" w:hAnsi="Garamond"/>
                <w:szCs w:val="22"/>
              </w:rPr>
              <w:t>х</w:t>
            </w:r>
            <w:r w:rsidRPr="00DA22C3">
              <w:rPr>
                <w:rFonts w:ascii="Garamond" w:eastAsia="Calibri" w:hAnsi="Garamond"/>
                <w:szCs w:val="22"/>
              </w:rPr>
              <w:t xml:space="preserve"> в групповом управлении изменением нагрузки, в рассматриваемые операционные сутки. Причем СО не может</w:t>
            </w:r>
            <w:r w:rsidRPr="00DA22C3">
              <w:rPr>
                <w:rFonts w:ascii="Garamond" w:hAnsi="Garamond"/>
                <w:szCs w:val="22"/>
              </w:rPr>
              <w:t xml:space="preserve"> проводить указанное тестирование в отношении </w:t>
            </w:r>
            <w:r w:rsidRPr="00DA22C3">
              <w:rPr>
                <w:rFonts w:ascii="Garamond" w:eastAsia="Calibri" w:hAnsi="Garamond"/>
                <w:szCs w:val="22"/>
              </w:rPr>
              <w:t>потребител</w:t>
            </w:r>
            <w:r w:rsidRPr="00DA22C3">
              <w:rPr>
                <w:rFonts w:ascii="Garamond" w:hAnsi="Garamond"/>
                <w:szCs w:val="22"/>
              </w:rPr>
              <w:t>ей</w:t>
            </w:r>
            <w:r w:rsidRPr="00DA22C3">
              <w:rPr>
                <w:rFonts w:ascii="Garamond" w:eastAsia="Calibri" w:hAnsi="Garamond"/>
                <w:szCs w:val="22"/>
              </w:rPr>
              <w:t>, участвующи</w:t>
            </w:r>
            <w:r w:rsidRPr="00DA22C3">
              <w:rPr>
                <w:rFonts w:ascii="Garamond" w:hAnsi="Garamond"/>
                <w:szCs w:val="22"/>
              </w:rPr>
              <w:t>х</w:t>
            </w:r>
            <w:r w:rsidRPr="00DA22C3">
              <w:rPr>
                <w:rFonts w:ascii="Garamond" w:eastAsia="Calibri" w:hAnsi="Garamond"/>
                <w:szCs w:val="22"/>
              </w:rPr>
              <w:t xml:space="preserve"> в групповом управлении изменением нагрузки, более </w:t>
            </w:r>
            <w:r w:rsidRPr="00DA22C3">
              <w:rPr>
                <w:rFonts w:ascii="Garamond" w:eastAsia="Calibri" w:hAnsi="Garamond"/>
                <w:i/>
                <w:szCs w:val="22"/>
                <w:lang w:val="en-US"/>
              </w:rPr>
              <w:t>n</w:t>
            </w:r>
            <w:r w:rsidRPr="00DA22C3">
              <w:rPr>
                <w:rFonts w:ascii="Garamond" w:eastAsia="Calibri" w:hAnsi="Garamond"/>
                <w:szCs w:val="22"/>
              </w:rPr>
              <w:t xml:space="preserve"> раз в расчетном периоде (значение параметра </w:t>
            </w:r>
            <w:r w:rsidRPr="00DA22C3">
              <w:rPr>
                <w:rFonts w:ascii="Garamond" w:eastAsia="Calibri" w:hAnsi="Garamond"/>
                <w:i/>
                <w:szCs w:val="22"/>
                <w:lang w:val="en-US"/>
              </w:rPr>
              <w:t>n</w:t>
            </w:r>
            <w:r w:rsidRPr="00DA22C3">
              <w:rPr>
                <w:rFonts w:ascii="Garamond" w:eastAsia="Calibri" w:hAnsi="Garamond"/>
                <w:szCs w:val="22"/>
              </w:rPr>
              <w:t xml:space="preserve"> принимается равным 2 (двум) (в случае, если в текущем месяце </w:t>
            </w:r>
            <w:r w:rsidRPr="00DA22C3">
              <w:rPr>
                <w:rFonts w:ascii="Garamond" w:eastAsia="Calibri" w:hAnsi="Garamond"/>
                <w:szCs w:val="22"/>
              </w:rPr>
              <w:lastRenderedPageBreak/>
              <w:t xml:space="preserve">произошло 3 (три) и более случая, когда результаты конкурентного отбора ценовых заявок на сутки вперед определялись на основании расчета с учетом </w:t>
            </w:r>
            <w:proofErr w:type="spellStart"/>
            <w:r w:rsidRPr="00DA22C3">
              <w:rPr>
                <w:rFonts w:ascii="Garamond" w:eastAsia="Calibri" w:hAnsi="Garamond"/>
                <w:szCs w:val="22"/>
              </w:rPr>
              <w:t>ценозависимого</w:t>
            </w:r>
            <w:proofErr w:type="spellEnd"/>
            <w:r w:rsidRPr="00DA22C3">
              <w:rPr>
                <w:rFonts w:ascii="Garamond" w:eastAsia="Calibri" w:hAnsi="Garamond"/>
                <w:szCs w:val="22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нагрузки, то значение параметра </w:t>
            </w:r>
            <w:r w:rsidRPr="00DA22C3">
              <w:rPr>
                <w:rFonts w:ascii="Garamond" w:eastAsia="Calibri" w:hAnsi="Garamond"/>
                <w:i/>
                <w:szCs w:val="22"/>
              </w:rPr>
              <w:t>n</w:t>
            </w:r>
            <w:r w:rsidRPr="00DA22C3">
              <w:rPr>
                <w:rFonts w:ascii="Garamond" w:eastAsia="Calibri" w:hAnsi="Garamond"/>
                <w:szCs w:val="22"/>
              </w:rPr>
              <w:t xml:space="preserve"> в текущем месяце принимается равным 0 (нулю));</w:t>
            </w:r>
          </w:p>
          <w:p w14:paraId="1C067835" w14:textId="77777777" w:rsidR="008A794A" w:rsidRPr="00DA22C3" w:rsidRDefault="008A794A" w:rsidP="00A94FA7">
            <w:pPr>
              <w:pStyle w:val="5"/>
              <w:numPr>
                <w:ilvl w:val="0"/>
                <w:numId w:val="14"/>
              </w:numPr>
              <w:ind w:left="1208" w:hanging="357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другую информацию, определяемую в соответствии с </w:t>
            </w:r>
            <w:r w:rsidRPr="00DA22C3">
              <w:rPr>
                <w:rFonts w:ascii="Garamond" w:hAnsi="Garamond"/>
                <w:i/>
                <w:iCs/>
                <w:color w:val="000000"/>
                <w:szCs w:val="22"/>
              </w:rPr>
              <w:t>Регламентом а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ктуализации расчетной модели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3 к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рынка).</w:t>
            </w:r>
          </w:p>
          <w:p w14:paraId="3F3E44D3" w14:textId="77777777" w:rsidR="008A794A" w:rsidRPr="00DA22C3" w:rsidRDefault="008A794A" w:rsidP="00A94FA7">
            <w:pPr>
              <w:pStyle w:val="subclauseindent"/>
              <w:ind w:left="0" w:firstLine="426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>Для проведения конкурентного отбора и определения планового почасового производства и потребления КО также использует информацию:</w:t>
            </w:r>
          </w:p>
          <w:p w14:paraId="52E315A3" w14:textId="77777777" w:rsidR="008A794A" w:rsidRPr="00DA22C3" w:rsidRDefault="008A794A" w:rsidP="00A94FA7">
            <w:pPr>
              <w:pStyle w:val="subclauseindent"/>
              <w:ind w:left="0" w:firstLine="426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− плановые почасовые объемы поставки электрической энергии в целях осуществления межгосударственной передачи по каждой из ГТП импорта (экспорта) (с разбиением по каждому из объемов поставки электрической энергии, в отношении которого участником оптового рынка было подано ДДПР соответствующее уведомление), переданные ДДПР в КО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>Регламентом подачи уведомлений участниками оптового рынк</w:t>
            </w:r>
            <w:r w:rsidRPr="00DA22C3">
              <w:rPr>
                <w:rFonts w:ascii="Garamond" w:hAnsi="Garamond"/>
                <w:szCs w:val="22"/>
              </w:rPr>
              <w:t xml:space="preserve">а (Приложение № 4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</w:t>
            </w:r>
            <w:r w:rsidRPr="00DA22C3">
              <w:rPr>
                <w:rFonts w:ascii="Garamond" w:hAnsi="Garamond"/>
                <w:color w:val="000000"/>
                <w:szCs w:val="22"/>
              </w:rPr>
              <w:t>.</w:t>
            </w:r>
          </w:p>
          <w:p w14:paraId="6CC1F6E3" w14:textId="77777777" w:rsidR="008A794A" w:rsidRPr="00DA22C3" w:rsidRDefault="008A794A" w:rsidP="00A94FA7">
            <w:pPr>
              <w:spacing w:before="120" w:after="120"/>
              <w:ind w:firstLine="459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Если Системный оператор передал КО актуализированную расчетную модель, содержащую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энергорайоны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, временно электрически изолированные вследствие системных условий от основной части ЕЭС РФ, относительно которых представлена вся указанная выше информация, КО осуществляет процедуру проведения конкурентного отбора и определения планового почасового производства и потребления в соответствии с требованиями настоящего Регламента, в том числе и в отношении таких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энергорайонов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68295926" w14:textId="77777777" w:rsidR="008A794A" w:rsidRPr="00DA22C3" w:rsidRDefault="008A794A" w:rsidP="00A94FA7">
            <w:pPr>
              <w:widowControl w:val="0"/>
              <w:spacing w:before="120" w:after="120"/>
              <w:ind w:firstLine="459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В этом случае КО до </w:t>
            </w:r>
            <w:r w:rsidRPr="00DA22C3">
              <w:rPr>
                <w:rFonts w:ascii="Garamond" w:hAnsi="Garamond"/>
                <w:sz w:val="22"/>
                <w:szCs w:val="22"/>
              </w:rPr>
              <w:t>19 часов 00 минут</w:t>
            </w: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 по времени ценовой зоны торговых суток размещает на своем официальном сайте </w:t>
            </w:r>
            <w:r w:rsidRPr="00DA22C3">
              <w:rPr>
                <w:rFonts w:ascii="Garamond" w:hAnsi="Garamond"/>
                <w:sz w:val="22"/>
                <w:szCs w:val="22"/>
              </w:rPr>
              <w:t>электронное сообщение, содержащее</w:t>
            </w:r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 уведомление о том, какие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энергорайоны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 xml:space="preserve"> при проведении процедуры конкурентного отбора на операционные сутки были временно электрически изолированы вследствие системных условий от основной части ЕЭС РФ, с указанием узлов, входящих в указанные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энергорайоны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6BD1BC05" w14:textId="77777777" w:rsidR="008A794A" w:rsidRPr="00DA22C3" w:rsidRDefault="008A794A" w:rsidP="00A94FA7">
            <w:pPr>
              <w:widowControl w:val="0"/>
              <w:spacing w:before="120" w:after="120"/>
              <w:ind w:firstLine="459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случае если согласно информации, переданной СО в составе актуализированной расчетной модели, в отношении объекта управления, соответствующего ГАЭС, указаны отрицательные значения </w:t>
            </w:r>
            <w:r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минимальных </w:t>
            </w:r>
            <w:r w:rsidRPr="00DA22C3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допустимых значений производства активной мощности включенного генерирующего оборудования, то для соответствующей РГЕ</w:t>
            </w:r>
            <w:r w:rsidR="00493F9F" w:rsidRPr="00DA22C3">
              <w:rPr>
                <w:rFonts w:ascii="Garamond" w:hAnsi="Garamond"/>
                <w:sz w:val="22"/>
                <w:szCs w:val="22"/>
                <w:highlight w:val="yellow"/>
              </w:rPr>
              <w:t>, отнесенной к ГТП генерации ГАЭС, значения минимальных допустимых значений производства активной мощности включенного генерирующего оборудования в соответствующие часы принимаются равными нулю.</w:t>
            </w:r>
          </w:p>
        </w:tc>
      </w:tr>
      <w:tr w:rsidR="005276DE" w:rsidRPr="00DA22C3" w14:paraId="17F34885" w14:textId="77777777" w:rsidTr="00DA22C3">
        <w:tc>
          <w:tcPr>
            <w:tcW w:w="918" w:type="dxa"/>
            <w:vAlign w:val="center"/>
          </w:tcPr>
          <w:p w14:paraId="39E5D184" w14:textId="77777777" w:rsidR="005276DE" w:rsidRPr="00DA22C3" w:rsidRDefault="005276DE" w:rsidP="007B6C2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lastRenderedPageBreak/>
              <w:t>Раздел 4, п. 9</w:t>
            </w:r>
          </w:p>
        </w:tc>
        <w:tc>
          <w:tcPr>
            <w:tcW w:w="6804" w:type="dxa"/>
          </w:tcPr>
          <w:p w14:paraId="40A39011" w14:textId="77777777" w:rsidR="005276DE" w:rsidRPr="00DA22C3" w:rsidRDefault="005276DE" w:rsidP="00A94FA7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t xml:space="preserve">формирует модельную </w:t>
            </w:r>
            <w:proofErr w:type="spellStart"/>
            <w:r w:rsidRPr="00DA22C3">
              <w:rPr>
                <w:rFonts w:ascii="Garamond" w:hAnsi="Garamond"/>
                <w:color w:val="000000"/>
                <w:szCs w:val="22"/>
              </w:rPr>
              <w:t>ценопринимающую</w:t>
            </w:r>
            <w:proofErr w:type="spellEnd"/>
            <w:r w:rsidRPr="00DA22C3">
              <w:rPr>
                <w:rFonts w:ascii="Garamond" w:hAnsi="Garamond"/>
                <w:color w:val="000000"/>
                <w:szCs w:val="22"/>
              </w:rPr>
              <w:t xml:space="preserve"> заявку в соответствии с приложением 1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Регламента проведения конкурентного отбора ценовых заявок на сутки вперед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7 к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>):</w:t>
            </w:r>
          </w:p>
          <w:p w14:paraId="5DDAB138" w14:textId="77777777" w:rsidR="005276DE" w:rsidRPr="00DA22C3" w:rsidRDefault="005276DE" w:rsidP="00A94FA7">
            <w:pPr>
              <w:pStyle w:val="subclauseindent"/>
              <w:numPr>
                <w:ilvl w:val="0"/>
                <w:numId w:val="3"/>
              </w:numPr>
              <w:ind w:left="759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для блок-станций (а также для РГЕ (объектов управления) типа ГЭС), не представленных на оптовом рынке отдельной ГТП генерации и включенных в ГТП потребления (ГТП потребления с регулируемой нагрузкой)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 xml:space="preserve">Актом о согласовании групп точек поставки субъекта оптового рынка и отнесении их к узлам расчетной модели </w:t>
            </w:r>
            <w:r w:rsidRPr="00DA22C3">
              <w:rPr>
                <w:rFonts w:ascii="Garamond" w:hAnsi="Garamond"/>
                <w:szCs w:val="22"/>
              </w:rPr>
              <w:t xml:space="preserve">(стандартная форма устанавливается </w:t>
            </w:r>
            <w:r w:rsidRPr="00DA22C3">
              <w:rPr>
                <w:rFonts w:ascii="Garamond" w:hAnsi="Garamond"/>
                <w:i/>
                <w:szCs w:val="22"/>
              </w:rPr>
              <w:t xml:space="preserve">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szCs w:val="22"/>
              </w:rPr>
              <w:t xml:space="preserve">(Приложение № 1.1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));</w:t>
            </w:r>
          </w:p>
          <w:p w14:paraId="29CD9167" w14:textId="77777777" w:rsidR="005276DE" w:rsidRPr="00DA22C3" w:rsidRDefault="005276DE" w:rsidP="00A94FA7">
            <w:pPr>
              <w:pStyle w:val="subclauseindent"/>
              <w:numPr>
                <w:ilvl w:val="0"/>
                <w:numId w:val="3"/>
              </w:numPr>
              <w:ind w:left="759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для ГТП генерации ГЭС (ГАЭС) – на объемы производства электрической энергии, которые необходимо произвести по технологическим причинам и (или) в целях обеспечения экологической безопасности;</w:t>
            </w:r>
          </w:p>
          <w:p w14:paraId="4E4FF103" w14:textId="77777777" w:rsidR="005276DE" w:rsidRPr="00DA22C3" w:rsidRDefault="005276DE" w:rsidP="00A94FA7">
            <w:pPr>
              <w:pStyle w:val="subclauseindent"/>
              <w:numPr>
                <w:ilvl w:val="0"/>
                <w:numId w:val="3"/>
              </w:numPr>
              <w:ind w:left="759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для объектов управления,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отнесенных к ГТП потребления с регулируемой нагрузкой, </w:t>
            </w:r>
            <w:r w:rsidRPr="00DA22C3">
              <w:rPr>
                <w:rFonts w:ascii="Garamond" w:hAnsi="Garamond"/>
                <w:szCs w:val="22"/>
              </w:rPr>
              <w:t xml:space="preserve">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 xml:space="preserve">Актом о согласовании групп точек поставки субъекта оптового рынка и отнесении их к узлам расчетной модели </w:t>
            </w:r>
            <w:r w:rsidRPr="00DA22C3">
              <w:rPr>
                <w:rFonts w:ascii="Garamond" w:hAnsi="Garamond"/>
                <w:szCs w:val="22"/>
              </w:rPr>
              <w:t xml:space="preserve">(стандартная форма устанавливается </w:t>
            </w:r>
            <w:r w:rsidRPr="00DA22C3">
              <w:rPr>
                <w:rFonts w:ascii="Garamond" w:hAnsi="Garamond"/>
                <w:i/>
                <w:szCs w:val="22"/>
              </w:rPr>
              <w:t xml:space="preserve">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szCs w:val="22"/>
              </w:rPr>
              <w:t xml:space="preserve">(Приложение № 1.1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 xml:space="preserve">)), по которым отсутствует ценовая заявка, сформированная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lastRenderedPageBreak/>
              <w:t>Регламентом подачи ценовых заявок участниками оптового рынка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5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);</w:t>
            </w:r>
          </w:p>
          <w:p w14:paraId="6BDDDCB3" w14:textId="77777777" w:rsidR="005276DE" w:rsidRPr="00DA22C3" w:rsidRDefault="005276DE" w:rsidP="00A94FA7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с учетом особенностей, предусмотренных для РГЕ, включенных в перечень РГЕ, отнесенных к электростанциям типа ГЭС, по которым СО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3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 задаются интегральные (суточные) минимальные и максимальные ограничения на производство активной мощности (интегральные ограничения на производство).</w:t>
            </w:r>
          </w:p>
          <w:p w14:paraId="3968AC59" w14:textId="77777777" w:rsidR="005276DE" w:rsidRPr="00DA22C3" w:rsidRDefault="005276DE" w:rsidP="00A94FA7">
            <w:pPr>
              <w:widowControl w:val="0"/>
              <w:spacing w:before="120" w:after="12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</w:tcPr>
          <w:p w14:paraId="7FA8ACC4" w14:textId="77777777" w:rsidR="005276DE" w:rsidRPr="00DA22C3" w:rsidRDefault="005276DE" w:rsidP="00A94FA7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color w:val="000000"/>
                <w:szCs w:val="22"/>
              </w:rPr>
              <w:lastRenderedPageBreak/>
              <w:t xml:space="preserve">формирует модельную </w:t>
            </w:r>
            <w:proofErr w:type="spellStart"/>
            <w:r w:rsidRPr="00DA22C3">
              <w:rPr>
                <w:rFonts w:ascii="Garamond" w:hAnsi="Garamond"/>
                <w:color w:val="000000"/>
                <w:szCs w:val="22"/>
              </w:rPr>
              <w:t>ценопринимающую</w:t>
            </w:r>
            <w:proofErr w:type="spellEnd"/>
            <w:r w:rsidRPr="00DA22C3">
              <w:rPr>
                <w:rFonts w:ascii="Garamond" w:hAnsi="Garamond"/>
                <w:color w:val="000000"/>
                <w:szCs w:val="22"/>
              </w:rPr>
              <w:t xml:space="preserve"> заявку в соответствии с приложением 1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Регламента проведения конкурентного отбора ценовых заявок на сутки вперед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(Приложение № 7 к </w:t>
            </w:r>
            <w:r w:rsidRPr="00DA22C3">
              <w:rPr>
                <w:rFonts w:ascii="Garamond" w:hAnsi="Garamond"/>
                <w:i/>
                <w:color w:val="000000"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color w:val="000000"/>
                <w:szCs w:val="22"/>
              </w:rPr>
              <w:t>):</w:t>
            </w:r>
          </w:p>
          <w:p w14:paraId="04F8E4A0" w14:textId="77777777" w:rsidR="005276DE" w:rsidRPr="00DA22C3" w:rsidRDefault="005276DE" w:rsidP="00A94FA7">
            <w:pPr>
              <w:pStyle w:val="subclauseindent"/>
              <w:numPr>
                <w:ilvl w:val="0"/>
                <w:numId w:val="3"/>
              </w:numPr>
              <w:ind w:left="759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для блок-станций (а также для РГЕ (объектов управления) типа ГЭС), не представленных на оптовом рынке отдельной ГТП генерации и включенных в ГТП потребления (ГТП потребления с регулируемой нагрузкой)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 xml:space="preserve">Актом о согласовании групп точек поставки субъекта оптового рынка и отнесении их к узлам расчетной модели </w:t>
            </w:r>
            <w:r w:rsidRPr="00DA22C3">
              <w:rPr>
                <w:rFonts w:ascii="Garamond" w:hAnsi="Garamond"/>
                <w:szCs w:val="22"/>
              </w:rPr>
              <w:t xml:space="preserve">(стандартная форма устанавливается </w:t>
            </w:r>
            <w:r w:rsidRPr="00DA22C3">
              <w:rPr>
                <w:rFonts w:ascii="Garamond" w:hAnsi="Garamond"/>
                <w:i/>
                <w:szCs w:val="22"/>
              </w:rPr>
              <w:t xml:space="preserve">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szCs w:val="22"/>
              </w:rPr>
              <w:t xml:space="preserve">(Приложение № 1.1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));</w:t>
            </w:r>
          </w:p>
          <w:p w14:paraId="5B6786B2" w14:textId="77777777" w:rsidR="005276DE" w:rsidRPr="00DA22C3" w:rsidRDefault="005276DE" w:rsidP="00A94FA7">
            <w:pPr>
              <w:pStyle w:val="subclauseindent"/>
              <w:numPr>
                <w:ilvl w:val="0"/>
                <w:numId w:val="3"/>
              </w:numPr>
              <w:ind w:left="759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для ГТП генерации ГЭС (ГАЭС) – на объемы производства электрической энергии, которые необходимо произвести по технологическим причинам и (или) в целях обеспечения экологической безопасности</w:t>
            </w:r>
            <w:r w:rsidR="00752386" w:rsidRPr="00DA22C3">
              <w:rPr>
                <w:rFonts w:ascii="Garamond" w:hAnsi="Garamond"/>
                <w:szCs w:val="22"/>
              </w:rPr>
              <w:t xml:space="preserve">. </w:t>
            </w:r>
            <w:r w:rsidR="00752386" w:rsidRPr="00DA22C3">
              <w:rPr>
                <w:rFonts w:ascii="Garamond" w:hAnsi="Garamond"/>
                <w:szCs w:val="22"/>
                <w:highlight w:val="yellow"/>
              </w:rPr>
              <w:t>При этом для ГТП генерации ГАЭС</w:t>
            </w:r>
            <w:r w:rsidR="00326986" w:rsidRPr="00DA22C3">
              <w:rPr>
                <w:rFonts w:ascii="Garamond" w:hAnsi="Garamond"/>
                <w:szCs w:val="22"/>
                <w:highlight w:val="yellow"/>
              </w:rPr>
              <w:t xml:space="preserve"> объемы производства электрической энергии, которые необходимо произвести по технологическим причинам и (или) в целях обеспечения экологической безопасности,</w:t>
            </w:r>
            <w:r w:rsidR="00752386" w:rsidRPr="00DA22C3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326986" w:rsidRPr="00DA22C3">
              <w:rPr>
                <w:rFonts w:ascii="Garamond" w:hAnsi="Garamond"/>
                <w:szCs w:val="22"/>
                <w:highlight w:val="yellow"/>
              </w:rPr>
              <w:t xml:space="preserve">принимаются равными переданным СО в КО в составе актуализированной расчетной модели в соответствии с </w:t>
            </w:r>
            <w:r w:rsidR="00326986" w:rsidRPr="00DA22C3">
              <w:rPr>
                <w:rFonts w:ascii="Garamond" w:hAnsi="Garamond"/>
                <w:i/>
                <w:szCs w:val="22"/>
                <w:highlight w:val="yellow"/>
              </w:rPr>
              <w:t>Регламентом актуализации расчетной модели</w:t>
            </w:r>
            <w:r w:rsidR="00326986" w:rsidRPr="00DA22C3">
              <w:rPr>
                <w:rFonts w:ascii="Garamond" w:hAnsi="Garamond"/>
                <w:szCs w:val="22"/>
                <w:highlight w:val="yellow"/>
              </w:rPr>
              <w:t xml:space="preserve"> (Приложение № 3 к </w:t>
            </w:r>
            <w:r w:rsidR="00326986" w:rsidRPr="00DA22C3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326986" w:rsidRPr="00DA22C3">
              <w:rPr>
                <w:rFonts w:ascii="Garamond" w:hAnsi="Garamond"/>
                <w:szCs w:val="22"/>
                <w:highlight w:val="yellow"/>
              </w:rPr>
              <w:t xml:space="preserve">) положительным значениям объемов, указанных СО в качестве </w:t>
            </w:r>
            <w:r w:rsidR="00326986" w:rsidRPr="00DA22C3">
              <w:rPr>
                <w:rFonts w:ascii="Garamond" w:hAnsi="Garamond"/>
                <w:szCs w:val="22"/>
                <w:highlight w:val="yellow"/>
              </w:rPr>
              <w:lastRenderedPageBreak/>
              <w:t>прогнозных объемов производства в отношении объекта управления, соответствующего ГАЭС</w:t>
            </w:r>
            <w:r w:rsidRPr="00DA22C3">
              <w:rPr>
                <w:rFonts w:ascii="Garamond" w:hAnsi="Garamond"/>
                <w:szCs w:val="22"/>
              </w:rPr>
              <w:t>;</w:t>
            </w:r>
          </w:p>
          <w:p w14:paraId="2DA739D3" w14:textId="77777777" w:rsidR="005276DE" w:rsidRPr="00DA22C3" w:rsidRDefault="005276DE" w:rsidP="00A94FA7">
            <w:pPr>
              <w:pStyle w:val="subclauseindent"/>
              <w:numPr>
                <w:ilvl w:val="0"/>
                <w:numId w:val="3"/>
              </w:numPr>
              <w:ind w:left="759"/>
              <w:rPr>
                <w:rFonts w:ascii="Garamond" w:hAnsi="Garamond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>для объектов управления,</w:t>
            </w:r>
            <w:r w:rsidRPr="00DA22C3">
              <w:rPr>
                <w:rFonts w:ascii="Garamond" w:hAnsi="Garamond"/>
                <w:color w:val="000000"/>
                <w:szCs w:val="22"/>
              </w:rPr>
              <w:t xml:space="preserve"> отнесенных к ГТП потребления с регулируемой нагрузкой, </w:t>
            </w:r>
            <w:r w:rsidRPr="00DA22C3">
              <w:rPr>
                <w:rFonts w:ascii="Garamond" w:hAnsi="Garamond"/>
                <w:szCs w:val="22"/>
              </w:rPr>
              <w:t xml:space="preserve">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 xml:space="preserve">Актом о согласовании групп точек поставки субъекта оптового рынка и отнесении их к узлам расчетной модели </w:t>
            </w:r>
            <w:r w:rsidRPr="00DA22C3">
              <w:rPr>
                <w:rFonts w:ascii="Garamond" w:hAnsi="Garamond"/>
                <w:szCs w:val="22"/>
              </w:rPr>
              <w:t xml:space="preserve">(стандартная форма устанавливается </w:t>
            </w:r>
            <w:r w:rsidRPr="00DA22C3">
              <w:rPr>
                <w:rFonts w:ascii="Garamond" w:hAnsi="Garamond"/>
                <w:i/>
                <w:szCs w:val="22"/>
              </w:rPr>
              <w:t xml:space="preserve">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hAnsi="Garamond"/>
                <w:szCs w:val="22"/>
              </w:rPr>
              <w:t xml:space="preserve">(Приложение № 1.1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 xml:space="preserve">)), по которым отсутствует ценовая заявка, сформированная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>Регламентом подачи ценовых заявок участниками оптового рынка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5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);</w:t>
            </w:r>
          </w:p>
          <w:p w14:paraId="66A66165" w14:textId="2743FFEE" w:rsidR="005276DE" w:rsidRPr="00DA22C3" w:rsidRDefault="005276DE" w:rsidP="00A94FA7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A22C3">
              <w:rPr>
                <w:rFonts w:ascii="Garamond" w:hAnsi="Garamond"/>
                <w:szCs w:val="22"/>
              </w:rPr>
              <w:t xml:space="preserve">с учетом особенностей, предусмотренных для РГЕ, включенных в перечень РГЕ, отнесенных к электростанциям типа ГЭС, по которым СО в соответствии с </w:t>
            </w:r>
            <w:r w:rsidRPr="00DA22C3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DA22C3">
              <w:rPr>
                <w:rFonts w:ascii="Garamond" w:hAnsi="Garamond"/>
                <w:szCs w:val="22"/>
              </w:rPr>
              <w:t xml:space="preserve"> (Приложение № 3 к </w:t>
            </w:r>
            <w:r w:rsidRPr="00DA22C3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Cs w:val="22"/>
              </w:rPr>
              <w:t>) задаются интегральные (суточные) минимальные и максимальные ограничения на производство активной мощности (интегральные ограничения на производство).</w:t>
            </w:r>
          </w:p>
        </w:tc>
      </w:tr>
      <w:tr w:rsidR="00B55CDA" w:rsidRPr="00DA22C3" w14:paraId="6CB72079" w14:textId="77777777" w:rsidTr="00DA22C3">
        <w:tc>
          <w:tcPr>
            <w:tcW w:w="918" w:type="dxa"/>
            <w:vAlign w:val="center"/>
          </w:tcPr>
          <w:p w14:paraId="22CD036C" w14:textId="0AEDCDCC" w:rsidR="00A94FA7" w:rsidRDefault="00A94FA7" w:rsidP="007B6C2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lastRenderedPageBreak/>
              <w:t>Раздел 4,</w:t>
            </w:r>
          </w:p>
          <w:p w14:paraId="6B31CE36" w14:textId="2E09058D" w:rsidR="00B55CDA" w:rsidRPr="00DA22C3" w:rsidRDefault="005276DE" w:rsidP="007B6C2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t>п. 9.2</w:t>
            </w:r>
          </w:p>
        </w:tc>
        <w:tc>
          <w:tcPr>
            <w:tcW w:w="6804" w:type="dxa"/>
          </w:tcPr>
          <w:p w14:paraId="70C0DAC9" w14:textId="35935C74" w:rsidR="00B55CDA" w:rsidRPr="00DA22C3" w:rsidRDefault="005276DE" w:rsidP="00A94FA7">
            <w:pPr>
              <w:widowControl w:val="0"/>
              <w:spacing w:before="120" w:after="120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DA22C3">
              <w:rPr>
                <w:rFonts w:ascii="Garamond" w:hAnsi="Garamond" w:cs="Garamond"/>
                <w:b/>
                <w:bCs/>
                <w:sz w:val="22"/>
                <w:szCs w:val="22"/>
              </w:rPr>
              <w:t>Добавить пункт</w:t>
            </w:r>
          </w:p>
        </w:tc>
        <w:tc>
          <w:tcPr>
            <w:tcW w:w="7371" w:type="dxa"/>
          </w:tcPr>
          <w:p w14:paraId="319643E3" w14:textId="0896EC90" w:rsidR="00B55CDA" w:rsidRPr="00DA22C3" w:rsidRDefault="005276DE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для ГТП потребления ГАЭС, не являющейся ГТП потребления поставщика, для целей участия в конкурентном отборе ценовых заявок на сутки вперед формирует модельную </w:t>
            </w:r>
            <w:proofErr w:type="spellStart"/>
            <w:r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ценопринимающую</w:t>
            </w:r>
            <w:proofErr w:type="spellEnd"/>
            <w:r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заявку на объем</w:t>
            </w:r>
            <w:r w:rsidR="00225F41"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ы</w:t>
            </w:r>
            <w:r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326986"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прогнозного </w:t>
            </w:r>
            <w:r w:rsidR="00225F41"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почасового </w:t>
            </w:r>
            <w:r w:rsidR="00326986"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потребления электрической энергии.</w:t>
            </w:r>
            <w:r w:rsidR="00225F41"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Указанные объемы прогнозного почасового потребления электрической энергии </w:t>
            </w:r>
            <w:r w:rsidR="00225F41"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принимаются равными переданным СО в КО в составе актуализированной расчетной модели в соответствии с </w:t>
            </w:r>
            <w:r w:rsidR="00225F41" w:rsidRPr="00DA22C3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актуализации расчетной модели</w:t>
            </w:r>
            <w:r w:rsidR="00225F41"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3 к </w:t>
            </w:r>
            <w:r w:rsidR="00225F41" w:rsidRPr="00DA22C3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225F41" w:rsidRPr="00DA22C3">
              <w:rPr>
                <w:rFonts w:ascii="Garamond" w:hAnsi="Garamond"/>
                <w:sz w:val="22"/>
                <w:szCs w:val="22"/>
                <w:highlight w:val="yellow"/>
              </w:rPr>
              <w:t>) отрицательным значениям объемов, указанных СО в качестве прогнозных объемов производства в отношении объекта управления, соответствующего ГАЭС</w:t>
            </w:r>
            <w:r w:rsidR="00921D52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225F41" w:rsidRPr="00DA22C3" w14:paraId="3731C880" w14:textId="77777777" w:rsidTr="00DA22C3">
        <w:tc>
          <w:tcPr>
            <w:tcW w:w="918" w:type="dxa"/>
            <w:vAlign w:val="center"/>
          </w:tcPr>
          <w:p w14:paraId="4865A6F6" w14:textId="77777777" w:rsidR="00225F41" w:rsidRPr="00DA22C3" w:rsidRDefault="00225F41" w:rsidP="007B6C2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t>Раздел 4, п. 22</w:t>
            </w:r>
          </w:p>
        </w:tc>
        <w:tc>
          <w:tcPr>
            <w:tcW w:w="6804" w:type="dxa"/>
          </w:tcPr>
          <w:p w14:paraId="7EC2FF82" w14:textId="77777777" w:rsidR="00225F41" w:rsidRPr="00DA22C3" w:rsidRDefault="00225F41" w:rsidP="00A94FA7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2C3">
              <w:rPr>
                <w:rFonts w:ascii="Garamond" w:hAnsi="Garamond"/>
                <w:sz w:val="22"/>
                <w:szCs w:val="22"/>
              </w:rPr>
              <w:t xml:space="preserve">Ценовая заявка участника по ГТП потребления (включая ГТП потребления поставщика), поданная для участия в конкурентном отборе ценовых заявок на сутки вперед, применяемая для целей расчета </w:t>
            </w:r>
            <w:hyperlink r:id="rId5" w:history="1">
              <w:r w:rsidRPr="00DA22C3">
                <w:rPr>
                  <w:rFonts w:ascii="Garamond" w:hAnsi="Garamond"/>
                  <w:sz w:val="22"/>
                  <w:szCs w:val="22"/>
                </w:rPr>
                <w:t>плановых объемов производства и потребления и расчета стоимости электроэнергии на сутки вперед</w:t>
              </w:r>
            </w:hyperlink>
            <w:r w:rsidRPr="00DA22C3">
              <w:rPr>
                <w:rFonts w:ascii="Garamond" w:hAnsi="Garamond"/>
                <w:sz w:val="22"/>
                <w:szCs w:val="22"/>
              </w:rPr>
              <w:t xml:space="preserve"> (за исключением случаев, указанных в </w:t>
            </w:r>
            <w:hyperlink r:id="rId6" w:history="1">
              <w:r w:rsidRPr="00DA22C3">
                <w:rPr>
                  <w:rFonts w:ascii="Garamond" w:hAnsi="Garamond"/>
                  <w:i/>
                  <w:sz w:val="22"/>
                  <w:szCs w:val="22"/>
                </w:rPr>
                <w:t>Регламенте расчета плановых объемов производства и потребления и расчета стоимости электроэнергии на сутки вперед</w:t>
              </w:r>
            </w:hyperlink>
            <w:r w:rsidRPr="00DA22C3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DA22C3">
              <w:rPr>
                <w:rFonts w:ascii="Garamond" w:hAnsi="Garamond"/>
                <w:i/>
                <w:sz w:val="22"/>
                <w:szCs w:val="22"/>
              </w:rPr>
              <w:t xml:space="preserve">Договору о </w:t>
            </w:r>
            <w:r w:rsidRPr="00DA22C3">
              <w:rPr>
                <w:rFonts w:ascii="Garamond" w:hAnsi="Garamond"/>
                <w:i/>
                <w:sz w:val="22"/>
                <w:szCs w:val="22"/>
              </w:rPr>
              <w:lastRenderedPageBreak/>
              <w:t>присоединении к торговой системе оптового рынка</w:t>
            </w:r>
            <w:r w:rsidRPr="00DA22C3">
              <w:rPr>
                <w:rFonts w:ascii="Garamond" w:hAnsi="Garamond"/>
                <w:sz w:val="22"/>
                <w:szCs w:val="22"/>
              </w:rPr>
              <w:t>), определяется следующим образом:</w:t>
            </w:r>
          </w:p>
          <w:p w14:paraId="19D11DC2" w14:textId="77777777" w:rsidR="00225F41" w:rsidRPr="00DA22C3" w:rsidRDefault="00225F41" w:rsidP="00A94FA7">
            <w:pPr>
              <w:numPr>
                <w:ilvl w:val="0"/>
                <w:numId w:val="4"/>
              </w:numPr>
              <w:spacing w:before="120" w:after="120"/>
              <w:ind w:left="1701" w:hanging="425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DA22C3">
              <w:rPr>
                <w:rFonts w:ascii="Garamond" w:hAnsi="Garamond"/>
                <w:sz w:val="22"/>
                <w:szCs w:val="22"/>
              </w:rPr>
              <w:t xml:space="preserve">в отношении ГТП потребления ГАЭС: </w:t>
            </w:r>
            <w:proofErr w:type="spellStart"/>
            <w:r w:rsidRPr="00DA22C3">
              <w:rPr>
                <w:rFonts w:ascii="Garamond" w:hAnsi="Garamond"/>
                <w:sz w:val="22"/>
                <w:szCs w:val="22"/>
              </w:rPr>
              <w:t>ценопринимающая</w:t>
            </w:r>
            <w:proofErr w:type="spellEnd"/>
            <w:r w:rsidRPr="00DA22C3">
              <w:rPr>
                <w:rFonts w:ascii="Garamond" w:hAnsi="Garamond"/>
                <w:sz w:val="22"/>
                <w:szCs w:val="22"/>
              </w:rPr>
              <w:t xml:space="preserve"> заявка, сформированная КО </w:t>
            </w:r>
            <w:r w:rsidRPr="005E75CE">
              <w:rPr>
                <w:rFonts w:ascii="Garamond" w:hAnsi="Garamond"/>
                <w:sz w:val="22"/>
                <w:szCs w:val="22"/>
                <w:highlight w:val="yellow"/>
              </w:rPr>
              <w:t>на объем потр</w:t>
            </w:r>
            <w:r w:rsidRPr="00DA22C3">
              <w:rPr>
                <w:rFonts w:ascii="Garamond" w:hAnsi="Garamond"/>
                <w:sz w:val="22"/>
                <w:szCs w:val="22"/>
                <w:highlight w:val="yellow"/>
              </w:rPr>
              <w:t>ебления электроэнергии, согласно ПДГ, переданному СО в составе актуализированной расчетной модели, используемой для проведения конкурентного отбора ценовых заявок на сутки вперед</w:t>
            </w:r>
            <w:r w:rsidRPr="00DA22C3">
              <w:rPr>
                <w:rFonts w:ascii="Garamond" w:hAnsi="Garamond"/>
                <w:sz w:val="22"/>
                <w:szCs w:val="22"/>
              </w:rPr>
              <w:t>;</w:t>
            </w:r>
          </w:p>
          <w:p w14:paraId="066F54F3" w14:textId="77777777" w:rsidR="00225F41" w:rsidRPr="00DA22C3" w:rsidRDefault="00225F41" w:rsidP="00A94FA7">
            <w:pPr>
              <w:pStyle w:val="4"/>
              <w:keepNext w:val="0"/>
              <w:keepLines w:val="0"/>
              <w:numPr>
                <w:ilvl w:val="0"/>
                <w:numId w:val="4"/>
              </w:numPr>
              <w:spacing w:before="120" w:after="120"/>
              <w:ind w:left="1701" w:hanging="425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в отношении ГТП потребления поставщика: </w:t>
            </w:r>
            <w:proofErr w:type="spellStart"/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>ценопринимающая</w:t>
            </w:r>
            <w:proofErr w:type="spellEnd"/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 заявка, сформированная КО в соответствии с разделом 4 настоящего Регламента;</w:t>
            </w:r>
          </w:p>
          <w:p w14:paraId="3290C5B5" w14:textId="59486A07" w:rsidR="00225F41" w:rsidRPr="00C00296" w:rsidRDefault="00225F41" w:rsidP="00C00296">
            <w:pPr>
              <w:pStyle w:val="4"/>
              <w:keepNext w:val="0"/>
              <w:keepLines w:val="0"/>
              <w:numPr>
                <w:ilvl w:val="0"/>
                <w:numId w:val="4"/>
              </w:numPr>
              <w:spacing w:before="120" w:after="120"/>
              <w:ind w:left="1701" w:hanging="425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>в отношении ГТП потребления, исключая ГТП потребления ГАЭС и ГТП потребления поставщика: ценовая заявка участника по ГТП потребления, сформированная согласно Регламенту подачи ценовых заявок Участниками оптового рынка (Приложение № 5 к Договору о присоединении к торговой системе оптового рынка), с учетом выполнения преобразований ценовой заявки в соответствии с разделом 4 Регламента проведения конкурентного отбора ценовых заявок на сутки вперед (Приложение № 7 к Договору о присоединении к торговой системе оптового рынка).</w:t>
            </w:r>
          </w:p>
        </w:tc>
        <w:tc>
          <w:tcPr>
            <w:tcW w:w="7371" w:type="dxa"/>
          </w:tcPr>
          <w:p w14:paraId="76FD76A9" w14:textId="77777777" w:rsidR="00225F41" w:rsidRPr="00DA22C3" w:rsidRDefault="00225F41" w:rsidP="00A94FA7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2C3">
              <w:rPr>
                <w:rFonts w:ascii="Garamond" w:hAnsi="Garamond"/>
                <w:sz w:val="22"/>
                <w:szCs w:val="22"/>
              </w:rPr>
              <w:lastRenderedPageBreak/>
              <w:t xml:space="preserve">Ценовая заявка участника по ГТП потребления (включая ГТП потребления поставщика), поданная для участия в конкурентном отборе ценовых заявок на сутки вперед, применяемая для целей расчета </w:t>
            </w:r>
            <w:hyperlink r:id="rId7" w:history="1">
              <w:r w:rsidRPr="00DA22C3">
                <w:rPr>
                  <w:rFonts w:ascii="Garamond" w:hAnsi="Garamond"/>
                  <w:sz w:val="22"/>
                  <w:szCs w:val="22"/>
                </w:rPr>
                <w:t>плановых объемов производства и потребления и расчета стоимости электроэнергии на сутки вперед</w:t>
              </w:r>
            </w:hyperlink>
            <w:r w:rsidRPr="00DA22C3">
              <w:rPr>
                <w:rFonts w:ascii="Garamond" w:hAnsi="Garamond"/>
                <w:sz w:val="22"/>
                <w:szCs w:val="22"/>
              </w:rPr>
              <w:t xml:space="preserve"> (за исключением случаев, указанных в </w:t>
            </w:r>
            <w:hyperlink r:id="rId8" w:history="1">
              <w:r w:rsidRPr="00DA22C3">
                <w:rPr>
                  <w:rFonts w:ascii="Garamond" w:hAnsi="Garamond"/>
                  <w:i/>
                  <w:sz w:val="22"/>
                  <w:szCs w:val="22"/>
                </w:rPr>
                <w:t>Регламенте расчета плановых объемов производства и потребления и расчета стоимости электроэнергии на сутки вперед</w:t>
              </w:r>
            </w:hyperlink>
            <w:r w:rsidRPr="00DA22C3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DA22C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sz w:val="22"/>
                <w:szCs w:val="22"/>
              </w:rPr>
              <w:t>), определяется следующим образом:</w:t>
            </w:r>
          </w:p>
          <w:p w14:paraId="74BE1D4A" w14:textId="6AE1DFFF" w:rsidR="00225F41" w:rsidRPr="00DA22C3" w:rsidRDefault="00225F41" w:rsidP="00A94FA7">
            <w:pPr>
              <w:numPr>
                <w:ilvl w:val="0"/>
                <w:numId w:val="4"/>
              </w:numPr>
              <w:spacing w:before="120" w:after="120"/>
              <w:ind w:left="1701" w:hanging="425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DA22C3">
              <w:rPr>
                <w:rFonts w:ascii="Garamond" w:hAnsi="Garamond"/>
                <w:sz w:val="22"/>
                <w:szCs w:val="22"/>
              </w:rPr>
              <w:lastRenderedPageBreak/>
              <w:t xml:space="preserve">в отношении ГТП потребления ГАЭС: </w:t>
            </w:r>
            <w:proofErr w:type="spellStart"/>
            <w:r w:rsidRPr="00DA22C3">
              <w:rPr>
                <w:rFonts w:ascii="Garamond" w:hAnsi="Garamond"/>
                <w:sz w:val="22"/>
                <w:szCs w:val="22"/>
              </w:rPr>
              <w:t>ценопринимающая</w:t>
            </w:r>
            <w:proofErr w:type="spellEnd"/>
            <w:r w:rsidRPr="00DA22C3">
              <w:rPr>
                <w:rFonts w:ascii="Garamond" w:hAnsi="Garamond"/>
                <w:sz w:val="22"/>
                <w:szCs w:val="22"/>
              </w:rPr>
              <w:t xml:space="preserve"> заявка, сформированная КО </w:t>
            </w:r>
            <w:r w:rsidRPr="00921D52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в </w:t>
            </w:r>
            <w:r w:rsidRPr="00DA22C3">
              <w:rPr>
                <w:rFonts w:ascii="Garamond" w:hAnsi="Garamond"/>
                <w:iCs/>
                <w:sz w:val="22"/>
                <w:szCs w:val="22"/>
                <w:highlight w:val="yellow"/>
              </w:rPr>
              <w:t>соответствии с разделом 4 настоящего Регламента</w:t>
            </w:r>
            <w:r w:rsidRPr="00DA22C3">
              <w:rPr>
                <w:rFonts w:ascii="Garamond" w:hAnsi="Garamond"/>
                <w:sz w:val="22"/>
                <w:szCs w:val="22"/>
              </w:rPr>
              <w:t>;</w:t>
            </w:r>
          </w:p>
          <w:p w14:paraId="3C768F4D" w14:textId="77777777" w:rsidR="00225F41" w:rsidRPr="00DA22C3" w:rsidRDefault="00225F41" w:rsidP="00A94FA7">
            <w:pPr>
              <w:pStyle w:val="4"/>
              <w:keepNext w:val="0"/>
              <w:keepLines w:val="0"/>
              <w:numPr>
                <w:ilvl w:val="0"/>
                <w:numId w:val="4"/>
              </w:numPr>
              <w:spacing w:before="120" w:after="120"/>
              <w:ind w:left="1701" w:hanging="425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в отношении ГТП потребления поставщика: </w:t>
            </w:r>
            <w:proofErr w:type="spellStart"/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>ценопринимающая</w:t>
            </w:r>
            <w:proofErr w:type="spellEnd"/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 xml:space="preserve"> заявка, сформированная КО в соответствии с разделом 4 настоящего Регламента;</w:t>
            </w:r>
          </w:p>
          <w:p w14:paraId="43F8B482" w14:textId="1743A74B" w:rsidR="00225F41" w:rsidRPr="00C00296" w:rsidRDefault="00225F41" w:rsidP="00C00296">
            <w:pPr>
              <w:pStyle w:val="4"/>
              <w:keepNext w:val="0"/>
              <w:keepLines w:val="0"/>
              <w:numPr>
                <w:ilvl w:val="0"/>
                <w:numId w:val="4"/>
              </w:numPr>
              <w:spacing w:before="120" w:after="120"/>
              <w:ind w:left="1701" w:hanging="425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DA22C3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</w:rPr>
              <w:t>в отношении ГТП потребления, исключая ГТП потребления ГАЭС и ГТП потребления поставщика: ценовая заявка участника по ГТП потребления, сформированная согласно Регламенту подачи ценовых заявок Участниками оптового рынка (Приложение № 5 к Договору о присоединении к торговой системе оптового рынка), с учетом выполнения преобразований ценовой заявки в соответствии с разделом 4 Регламента проведения конкурентного отбора ценовых заявок на сутки вперед (Приложение № 7 к Договору о присоединении к торговой системе оптового рынка).</w:t>
            </w:r>
          </w:p>
        </w:tc>
      </w:tr>
      <w:tr w:rsidR="00225F41" w:rsidRPr="00DA22C3" w14:paraId="5F12CEF9" w14:textId="77777777" w:rsidTr="00DA22C3">
        <w:tc>
          <w:tcPr>
            <w:tcW w:w="918" w:type="dxa"/>
            <w:vAlign w:val="center"/>
          </w:tcPr>
          <w:p w14:paraId="0BE5B836" w14:textId="77777777" w:rsidR="00225F41" w:rsidRPr="00DA22C3" w:rsidRDefault="00225F41" w:rsidP="00A94FA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1, п. 1.1</w:t>
            </w:r>
          </w:p>
        </w:tc>
        <w:tc>
          <w:tcPr>
            <w:tcW w:w="6804" w:type="dxa"/>
          </w:tcPr>
          <w:p w14:paraId="06D89DB4" w14:textId="77777777" w:rsidR="00225F41" w:rsidRPr="00DA22C3" w:rsidRDefault="00225F41" w:rsidP="00A94FA7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b/>
                <w:i w:val="0"/>
                <w:color w:val="auto"/>
                <w:sz w:val="22"/>
                <w:szCs w:val="22"/>
              </w:rPr>
            </w:pP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t>f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>1)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ab/>
              <w:t>для РГЕ (объектов управления) (за исключением РГЕ, имеющих тип ГЭС, по которым СО в соответствии с Регламентом актуализации расчетной модели (Приложение № 3 к Договору о присоединении к торговой системе оптового рынка) задаются интегральные ограничения на производство электрической энергии)</w:t>
            </w:r>
          </w:p>
          <w:p w14:paraId="3F26AAB4" w14:textId="77777777" w:rsidR="00225F41" w:rsidRPr="00DA22C3" w:rsidRDefault="00225F41" w:rsidP="00A94FA7">
            <w:pPr>
              <w:pStyle w:val="4"/>
              <w:keepNext w:val="0"/>
              <w:keepLines w:val="0"/>
              <w:widowControl w:val="0"/>
              <w:numPr>
                <w:ilvl w:val="0"/>
                <w:numId w:val="6"/>
              </w:numPr>
              <w:spacing w:before="120" w:after="120"/>
              <w:ind w:left="993" w:hanging="284"/>
              <w:jc w:val="both"/>
              <w:rPr>
                <w:rFonts w:ascii="Garamond" w:hAnsi="Garamond"/>
                <w:b/>
                <w:i w:val="0"/>
                <w:color w:val="auto"/>
                <w:sz w:val="22"/>
                <w:szCs w:val="22"/>
              </w:rPr>
            </w:pP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отнесенных к блок-станциям, не представленным на оптовом рынке отдельной ГТП генерации и включенным в ГТП потребления в соответствии с Актом о согласовании групп точек поставки субъекта оптового рынка и отнесении их к узлам расчетной модели (стандартная форма устанавливается 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eastAsia="Batang" w:hAnsi="Garamond" w:cs="Garamond"/>
                <w:i w:val="0"/>
                <w:color w:val="auto"/>
                <w:sz w:val="22"/>
                <w:szCs w:val="22"/>
                <w:lang w:eastAsia="ko-KR"/>
              </w:rPr>
              <w:lastRenderedPageBreak/>
              <w:t>(Приложение № 1.1 к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>));</w:t>
            </w:r>
          </w:p>
          <w:p w14:paraId="496F8A97" w14:textId="77777777" w:rsidR="00225F41" w:rsidRPr="00DA22C3" w:rsidRDefault="00225F41" w:rsidP="00A94FA7">
            <w:pPr>
              <w:pStyle w:val="4"/>
              <w:keepNext w:val="0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before="120" w:after="120"/>
              <w:ind w:left="993" w:hanging="284"/>
              <w:jc w:val="both"/>
              <w:rPr>
                <w:rFonts w:ascii="Garamond" w:hAnsi="Garamond"/>
                <w:b/>
                <w:i w:val="0"/>
                <w:color w:val="auto"/>
                <w:sz w:val="22"/>
                <w:szCs w:val="22"/>
              </w:rPr>
            </w:pP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являющихся объектами управления, отнесенными в соответствии с Актом о согласовании групп точек поставки субъекта оптового рынка и отнесении их к узлам расчетной модели (стандартная форма устанавливается 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eastAsia="Batang" w:hAnsi="Garamond" w:cs="Garamond"/>
                <w:i w:val="0"/>
                <w:color w:val="auto"/>
                <w:sz w:val="22"/>
                <w:szCs w:val="22"/>
                <w:lang w:eastAsia="ko-KR"/>
              </w:rPr>
              <w:t>(Приложение № 1.1 к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>)) к ГТП потребления с регулируемой нагрузкой, по которым отсутствует ценовая заявка, сформированная в соответствии с Регламентом подачи ценовых заявок участниками оптового рынка (Приложение № 5 к Договору о присоединении к торговой системе оптового рынка);</w:t>
            </w:r>
          </w:p>
          <w:p w14:paraId="57249C78" w14:textId="77777777" w:rsidR="00225F41" w:rsidRPr="00DA22C3" w:rsidRDefault="00225F41" w:rsidP="00A94FA7">
            <w:pPr>
              <w:pStyle w:val="a3"/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before="120" w:after="120" w:line="240" w:lineRule="auto"/>
              <w:ind w:left="993" w:hanging="284"/>
              <w:contextualSpacing w:val="0"/>
              <w:jc w:val="both"/>
              <w:rPr>
                <w:rFonts w:ascii="Garamond" w:hAnsi="Garamond"/>
              </w:rPr>
            </w:pPr>
            <w:r w:rsidRPr="00DA22C3">
              <w:rPr>
                <w:rFonts w:ascii="Garamond" w:hAnsi="Garamond"/>
              </w:rPr>
              <w:t xml:space="preserve">имеющих тип ГЭС и отнесенных к ГТП генерации ГЭС (ГАЭС) </w:t>
            </w:r>
            <w:r w:rsidRPr="00DA22C3">
              <w:rPr>
                <w:rFonts w:ascii="Garamond" w:hAnsi="Garamond"/>
                <w:highlight w:val="yellow"/>
              </w:rPr>
              <w:t>либо ГТП потребления либо</w:t>
            </w:r>
            <w:r w:rsidRPr="00DA22C3">
              <w:rPr>
                <w:rFonts w:ascii="Garamond" w:hAnsi="Garamond"/>
              </w:rPr>
              <w:t xml:space="preserve"> </w:t>
            </w:r>
            <w:r w:rsidRPr="00DA22C3">
              <w:rPr>
                <w:rFonts w:ascii="Garamond" w:hAnsi="Garamond"/>
                <w:highlight w:val="yellow"/>
              </w:rPr>
              <w:t>являющихся объектами управления, отнесенными</w:t>
            </w:r>
            <w:r w:rsidRPr="00DA22C3">
              <w:rPr>
                <w:rFonts w:ascii="Garamond" w:hAnsi="Garamond"/>
              </w:rPr>
              <w:t xml:space="preserve"> к ГТП потребления с регулируемой нагрузкой, в соответствии с </w:t>
            </w:r>
            <w:r w:rsidRPr="00DA22C3">
              <w:rPr>
                <w:rFonts w:ascii="Garamond" w:hAnsi="Garamond"/>
                <w:i/>
              </w:rPr>
              <w:t xml:space="preserve">Актом о согласовании групп точек поставки субъекта оптового рынка и отнесении их к узлам расчетной модели (стандартная форма устанавливается 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eastAsia="Batang" w:hAnsi="Garamond" w:cs="Garamond"/>
                <w:lang w:eastAsia="ko-KR"/>
              </w:rPr>
              <w:t>(Приложение № 1.1 к</w:t>
            </w:r>
            <w:r w:rsidRPr="00DA22C3">
              <w:rPr>
                <w:rFonts w:ascii="Garamond" w:eastAsia="Batang" w:hAnsi="Garamond" w:cs="Garamond"/>
                <w:i/>
                <w:lang w:eastAsia="ko-KR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</w:rPr>
              <w:t xml:space="preserve">)) </w:t>
            </w:r>
            <w:r w:rsidRPr="00DA22C3">
              <w:rPr>
                <w:rFonts w:ascii="Garamond" w:hAnsi="Garamond"/>
                <w:color w:val="000000"/>
                <w:highlight w:val="yellow"/>
              </w:rPr>
              <w:t>– на объемы производства электрической энергии, которые необходимо произвести по технологическим причинам и (или) в целях обеспечения экологической безопасности и которые содержатся на соответствующий час в прогнозном диспетчерском графике</w:t>
            </w:r>
            <w:r w:rsidRPr="00DA22C3">
              <w:rPr>
                <w:rFonts w:ascii="Garamond" w:hAnsi="Garamond"/>
              </w:rPr>
              <w:t>;</w:t>
            </w:r>
          </w:p>
          <w:p w14:paraId="32938ABA" w14:textId="77777777" w:rsidR="00225F41" w:rsidRPr="00DA22C3" w:rsidRDefault="00225F41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2C3">
              <w:rPr>
                <w:rFonts w:ascii="Garamond" w:hAnsi="Garamond"/>
                <w:sz w:val="22"/>
                <w:szCs w:val="22"/>
              </w:rPr>
              <w:t xml:space="preserve">в отношении каждого часа формируются </w:t>
            </w:r>
            <w:proofErr w:type="spellStart"/>
            <w:r w:rsidRPr="00DA22C3">
              <w:rPr>
                <w:rFonts w:ascii="Garamond" w:hAnsi="Garamond"/>
                <w:sz w:val="22"/>
                <w:szCs w:val="22"/>
              </w:rPr>
              <w:t>ценопринимающие</w:t>
            </w:r>
            <w:proofErr w:type="spellEnd"/>
            <w:r w:rsidRPr="00DA22C3">
              <w:rPr>
                <w:rFonts w:ascii="Garamond" w:hAnsi="Garamond"/>
                <w:sz w:val="22"/>
                <w:szCs w:val="22"/>
              </w:rPr>
              <w:t xml:space="preserve"> поузловые пары &lt;цена – количество&gt;, в которых значение &lt;количество&gt; устанавливается равным соответствующему объему прогнозного графика производства, представленного в ПДГ;</w:t>
            </w:r>
          </w:p>
          <w:p w14:paraId="613DC0F5" w14:textId="77777777" w:rsidR="00225F41" w:rsidRPr="00DA22C3" w:rsidRDefault="00225F41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371" w:type="dxa"/>
          </w:tcPr>
          <w:p w14:paraId="19206A79" w14:textId="77777777" w:rsidR="00225F41" w:rsidRPr="00DA22C3" w:rsidRDefault="00225F41" w:rsidP="00A94FA7">
            <w:pPr>
              <w:pStyle w:val="4"/>
              <w:keepNext w:val="0"/>
              <w:keepLines w:val="0"/>
              <w:widowControl w:val="0"/>
              <w:spacing w:before="120" w:after="120"/>
              <w:jc w:val="both"/>
              <w:rPr>
                <w:rFonts w:ascii="Garamond" w:hAnsi="Garamond"/>
                <w:b/>
                <w:i w:val="0"/>
                <w:color w:val="auto"/>
                <w:sz w:val="22"/>
                <w:szCs w:val="22"/>
              </w:rPr>
            </w:pP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  <w:lang w:val="en-US"/>
              </w:rPr>
              <w:lastRenderedPageBreak/>
              <w:t>f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>1)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ab/>
              <w:t>для РГЕ (объектов управления) (за исключением РГЕ, имеющих тип ГЭС, по которым СО в соответствии с Регламентом актуализации расчетной модели (Приложение № 3 к Договору о присоединении к торговой системе оптового рынка) задаются интегральные ограничения на производство электрической энергии)</w:t>
            </w:r>
          </w:p>
          <w:p w14:paraId="0BA153EA" w14:textId="77777777" w:rsidR="00225F41" w:rsidRPr="00DA22C3" w:rsidRDefault="00225F41" w:rsidP="00A94FA7">
            <w:pPr>
              <w:pStyle w:val="4"/>
              <w:keepNext w:val="0"/>
              <w:keepLines w:val="0"/>
              <w:widowControl w:val="0"/>
              <w:numPr>
                <w:ilvl w:val="0"/>
                <w:numId w:val="6"/>
              </w:numPr>
              <w:spacing w:before="120" w:after="120"/>
              <w:ind w:left="993" w:hanging="284"/>
              <w:jc w:val="both"/>
              <w:rPr>
                <w:rFonts w:ascii="Garamond" w:hAnsi="Garamond"/>
                <w:b/>
                <w:i w:val="0"/>
                <w:color w:val="auto"/>
                <w:sz w:val="22"/>
                <w:szCs w:val="22"/>
              </w:rPr>
            </w:pP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отнесенных к блок-станциям, не представленным на оптовом рынке отдельной ГТП генерации и включенным в ГТП потребления в соответствии с Актом о согласовании групп точек поставки субъекта оптового рынка и отнесении их к узлам расчетной модели (стандартная форма устанавливается 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eastAsia="Batang" w:hAnsi="Garamond" w:cs="Garamond"/>
                <w:i w:val="0"/>
                <w:color w:val="auto"/>
                <w:sz w:val="22"/>
                <w:szCs w:val="22"/>
                <w:lang w:eastAsia="ko-KR"/>
              </w:rPr>
              <w:t xml:space="preserve">(Приложение № 1.1 к Договору о </w:t>
            </w:r>
            <w:r w:rsidRPr="00DA22C3">
              <w:rPr>
                <w:rFonts w:ascii="Garamond" w:eastAsia="Batang" w:hAnsi="Garamond" w:cs="Garamond"/>
                <w:i w:val="0"/>
                <w:color w:val="auto"/>
                <w:sz w:val="22"/>
                <w:szCs w:val="22"/>
                <w:lang w:eastAsia="ko-KR"/>
              </w:rPr>
              <w:lastRenderedPageBreak/>
              <w:t>присоединении к торговой системе оптового рынка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>));</w:t>
            </w:r>
          </w:p>
          <w:p w14:paraId="471CF513" w14:textId="77777777" w:rsidR="00225F41" w:rsidRPr="00DA22C3" w:rsidRDefault="00225F41" w:rsidP="00A94FA7">
            <w:pPr>
              <w:pStyle w:val="4"/>
              <w:keepNext w:val="0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before="120" w:after="120"/>
              <w:ind w:left="993" w:hanging="284"/>
              <w:jc w:val="both"/>
              <w:rPr>
                <w:rFonts w:ascii="Garamond" w:hAnsi="Garamond"/>
                <w:b/>
                <w:i w:val="0"/>
                <w:color w:val="auto"/>
                <w:sz w:val="22"/>
                <w:szCs w:val="22"/>
              </w:rPr>
            </w:pP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являющихся объектами управления, отнесенными в соответствии с Актом о согласовании групп точек поставки субъекта оптового рынка и отнесении их к узлам расчетной модели (стандартная форма устанавливается 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eastAsia="Batang" w:hAnsi="Garamond" w:cs="Garamond"/>
                <w:i w:val="0"/>
                <w:color w:val="auto"/>
                <w:sz w:val="22"/>
                <w:szCs w:val="22"/>
                <w:lang w:eastAsia="ko-KR"/>
              </w:rPr>
              <w:t>(Приложение № 1.1 к Договору о присоединении к торговой системе оптового рынка</w:t>
            </w:r>
            <w:r w:rsidRPr="00DA22C3">
              <w:rPr>
                <w:rFonts w:ascii="Garamond" w:hAnsi="Garamond"/>
                <w:i w:val="0"/>
                <w:color w:val="auto"/>
                <w:sz w:val="22"/>
                <w:szCs w:val="22"/>
              </w:rPr>
              <w:t>)) к ГТП потребления с регулируемой нагрузкой, по которым отсутствует ценовая заявка, сформированная в соответствии с Регламентом подачи ценовых заявок участниками оптового рынка (Приложение № 5 к Договору о присоединении к торговой системе оптового рынка);</w:t>
            </w:r>
          </w:p>
          <w:p w14:paraId="3CF2B52A" w14:textId="77777777" w:rsidR="00225F41" w:rsidRPr="00DA22C3" w:rsidRDefault="00225F41" w:rsidP="00A94FA7">
            <w:pPr>
              <w:pStyle w:val="a3"/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before="120" w:after="120" w:line="240" w:lineRule="auto"/>
              <w:ind w:left="993" w:hanging="284"/>
              <w:contextualSpacing w:val="0"/>
              <w:jc w:val="both"/>
              <w:rPr>
                <w:rFonts w:ascii="Garamond" w:hAnsi="Garamond"/>
              </w:rPr>
            </w:pPr>
            <w:r w:rsidRPr="00DA22C3">
              <w:rPr>
                <w:rFonts w:ascii="Garamond" w:hAnsi="Garamond"/>
              </w:rPr>
              <w:t xml:space="preserve">имеющих тип ГЭС и отнесенных к ГТП генерации ГЭС (ГАЭС) </w:t>
            </w:r>
            <w:r w:rsidR="00B63D24" w:rsidRPr="00DA22C3">
              <w:rPr>
                <w:rFonts w:ascii="Garamond" w:hAnsi="Garamond"/>
                <w:highlight w:val="yellow"/>
              </w:rPr>
              <w:t>или</w:t>
            </w:r>
            <w:r w:rsidR="00B63D24" w:rsidRPr="00DA22C3">
              <w:rPr>
                <w:rFonts w:ascii="Garamond" w:hAnsi="Garamond"/>
              </w:rPr>
              <w:t xml:space="preserve"> </w:t>
            </w:r>
            <w:r w:rsidRPr="00DA22C3">
              <w:rPr>
                <w:rFonts w:ascii="Garamond" w:hAnsi="Garamond"/>
              </w:rPr>
              <w:t xml:space="preserve">к ГТП потребления с регулируемой нагрузкой в соответствии с </w:t>
            </w:r>
            <w:r w:rsidRPr="00DA22C3">
              <w:rPr>
                <w:rFonts w:ascii="Garamond" w:hAnsi="Garamond"/>
                <w:i/>
              </w:rPr>
              <w:t xml:space="preserve">Актом о согласовании групп точек поставки субъекта оптового рынка и отнесении их к узлам расчетной модели (стандартная форма устанавливается Положением о порядке получения статуса субъекта оптового рынка и ведения реестра субъектов оптового рынка </w:t>
            </w:r>
            <w:r w:rsidRPr="00DA22C3">
              <w:rPr>
                <w:rFonts w:ascii="Garamond" w:eastAsia="Batang" w:hAnsi="Garamond" w:cs="Garamond"/>
                <w:lang w:eastAsia="ko-KR"/>
              </w:rPr>
              <w:t>(Приложение № 1.1 к</w:t>
            </w:r>
            <w:r w:rsidRPr="00DA22C3">
              <w:rPr>
                <w:rFonts w:ascii="Garamond" w:eastAsia="Batang" w:hAnsi="Garamond" w:cs="Garamond"/>
                <w:i/>
                <w:lang w:eastAsia="ko-KR"/>
              </w:rPr>
              <w:t xml:space="preserve"> Договору о присоединении к торговой системе оптового рынка</w:t>
            </w:r>
            <w:r w:rsidRPr="00DA22C3">
              <w:rPr>
                <w:rFonts w:ascii="Garamond" w:hAnsi="Garamond"/>
              </w:rPr>
              <w:t>));</w:t>
            </w:r>
          </w:p>
          <w:p w14:paraId="461CEF3D" w14:textId="009F5AC3" w:rsidR="00225F41" w:rsidRPr="00DA22C3" w:rsidRDefault="00225F41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A22C3">
              <w:rPr>
                <w:rFonts w:ascii="Garamond" w:hAnsi="Garamond"/>
                <w:sz w:val="22"/>
                <w:szCs w:val="22"/>
              </w:rPr>
              <w:t xml:space="preserve">в отношении каждого часа формируются </w:t>
            </w:r>
            <w:proofErr w:type="spellStart"/>
            <w:r w:rsidRPr="00DA22C3">
              <w:rPr>
                <w:rFonts w:ascii="Garamond" w:hAnsi="Garamond"/>
                <w:sz w:val="22"/>
                <w:szCs w:val="22"/>
              </w:rPr>
              <w:t>ценопринимающие</w:t>
            </w:r>
            <w:proofErr w:type="spellEnd"/>
            <w:r w:rsidRPr="00DA22C3">
              <w:rPr>
                <w:rFonts w:ascii="Garamond" w:hAnsi="Garamond"/>
                <w:sz w:val="22"/>
                <w:szCs w:val="22"/>
              </w:rPr>
              <w:t xml:space="preserve"> поузловые пары &lt;цена – количество&gt;, в которых значение &lt;количество&gt; устанавливается равным соответствующему объему прогнозного графика производства, представленного в ПДГ</w:t>
            </w:r>
            <w:r w:rsidR="00656C96" w:rsidRPr="00921D52">
              <w:rPr>
                <w:rFonts w:ascii="Garamond" w:hAnsi="Garamond"/>
                <w:sz w:val="22"/>
                <w:szCs w:val="22"/>
                <w:highlight w:val="yellow"/>
              </w:rPr>
              <w:t>. Д</w:t>
            </w:r>
            <w:r w:rsidR="00656C96"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ля РГЕ, </w:t>
            </w:r>
            <w:r w:rsidR="00B63D24"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имеющих тип ГЭС и </w:t>
            </w:r>
            <w:r w:rsidR="00656C96" w:rsidRPr="00DA22C3">
              <w:rPr>
                <w:rFonts w:ascii="Garamond" w:hAnsi="Garamond"/>
                <w:sz w:val="22"/>
                <w:szCs w:val="22"/>
                <w:highlight w:val="yellow"/>
              </w:rPr>
              <w:t>отнесенных к ГТП генерации ГЭС или к ГТП потребления с регулируемой нагрузкой</w:t>
            </w:r>
            <w:r w:rsidR="00B63D24"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, применяются </w:t>
            </w:r>
            <w:r w:rsidR="00B63D24" w:rsidRPr="00DA22C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объемы производства электрической энергии, которые необходимо произвести по технологическим причинам и (или) в целях обеспечения экологической безопасности и которые содержатся на соответствующий час в прогнозном диспетчерском графике</w:t>
            </w:r>
            <w:r w:rsidR="00656C96" w:rsidRPr="00DA22C3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B63D24"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 Для РГЕ, отнесенной к ГАЭС, применяются переданные СО в КО в составе актуализированной расчетной модели в соответствии с </w:t>
            </w:r>
            <w:r w:rsidR="00B63D24" w:rsidRPr="00DA22C3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актуализации расчетной модели</w:t>
            </w:r>
            <w:r w:rsidR="00B63D24" w:rsidRPr="00DA22C3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3 к </w:t>
            </w:r>
            <w:r w:rsidR="00B63D24" w:rsidRPr="00DA22C3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B63D24" w:rsidRPr="00DA22C3">
              <w:rPr>
                <w:rFonts w:ascii="Garamond" w:hAnsi="Garamond"/>
                <w:sz w:val="22"/>
                <w:szCs w:val="22"/>
                <w:highlight w:val="yellow"/>
              </w:rPr>
              <w:t>) положительные значения объемов, указанные СО в качестве прогнозных объемов производства в отношении соответствующей РГЕ</w:t>
            </w:r>
            <w:r w:rsidR="00921D52">
              <w:rPr>
                <w:rFonts w:ascii="Garamond" w:hAnsi="Garamond"/>
                <w:sz w:val="22"/>
                <w:szCs w:val="22"/>
              </w:rPr>
              <w:t>;</w:t>
            </w:r>
          </w:p>
        </w:tc>
      </w:tr>
    </w:tbl>
    <w:p w14:paraId="1AF09CD4" w14:textId="77777777" w:rsidR="00B55CDA" w:rsidRDefault="00B55CDA" w:rsidP="00A94FA7">
      <w:pPr>
        <w:widowControl w:val="0"/>
      </w:pPr>
    </w:p>
    <w:p w14:paraId="452A650B" w14:textId="77777777" w:rsidR="00AA1EFE" w:rsidRPr="002B5432" w:rsidRDefault="00540B47" w:rsidP="00A94FA7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Предложения по изменениям </w:t>
      </w:r>
      <w:r w:rsidR="00AA1EFE" w:rsidRPr="002B5432">
        <w:rPr>
          <w:rFonts w:ascii="Garamond" w:hAnsi="Garamond"/>
          <w:sz w:val="26"/>
          <w:szCs w:val="26"/>
        </w:rPr>
        <w:t>и дополнениям в</w:t>
      </w:r>
      <w:bookmarkEnd w:id="1"/>
      <w:bookmarkEnd w:id="2"/>
      <w:r>
        <w:rPr>
          <w:rFonts w:ascii="Garamond" w:hAnsi="Garamond"/>
          <w:sz w:val="26"/>
          <w:szCs w:val="26"/>
        </w:rPr>
        <w:t xml:space="preserve"> </w:t>
      </w:r>
      <w:r w:rsidR="00AA1EFE" w:rsidRPr="002B5432">
        <w:rPr>
          <w:rFonts w:ascii="Garamond" w:hAnsi="Garamond"/>
          <w:sz w:val="26"/>
          <w:szCs w:val="26"/>
        </w:rPr>
        <w:t xml:space="preserve">РЕГЛАМЕНТ </w:t>
      </w:r>
      <w:r>
        <w:rPr>
          <w:rFonts w:ascii="Garamond" w:hAnsi="Garamond"/>
          <w:sz w:val="26"/>
          <w:szCs w:val="26"/>
        </w:rPr>
        <w:t>ОПРЕДЕЛЕНИЯ ОБЪЕМОВ, ИНИЦИАТИВ И СТОИМОСТИ ОТКЛОНЕНИЙ</w:t>
      </w:r>
      <w:r w:rsidR="00AA1EFE"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 xml:space="preserve">12 к Договору о присоединении </w:t>
      </w:r>
      <w:r w:rsidR="00AA1EFE" w:rsidRPr="002B5432">
        <w:rPr>
          <w:rFonts w:ascii="Garamond" w:hAnsi="Garamond"/>
          <w:sz w:val="26"/>
          <w:szCs w:val="26"/>
        </w:rPr>
        <w:t>к торговой системе оптового рынка)</w:t>
      </w:r>
      <w:bookmarkEnd w:id="3"/>
      <w:bookmarkEnd w:id="4"/>
      <w:bookmarkEnd w:id="5"/>
    </w:p>
    <w:p w14:paraId="067340B9" w14:textId="77777777" w:rsidR="00AA1EFE" w:rsidRPr="002B5432" w:rsidRDefault="00AA1EFE" w:rsidP="00A94FA7">
      <w:pPr>
        <w:widowControl w:val="0"/>
        <w:rPr>
          <w:rFonts w:ascii="Garamond" w:hAnsi="Garamond"/>
        </w:rPr>
      </w:pPr>
    </w:p>
    <w:tbl>
      <w:tblPr>
        <w:tblW w:w="149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662"/>
        <w:gridCol w:w="7371"/>
      </w:tblGrid>
      <w:tr w:rsidR="00AA1EFE" w:rsidRPr="002B5432" w14:paraId="35B6D68D" w14:textId="77777777" w:rsidTr="00DA22C3">
        <w:tc>
          <w:tcPr>
            <w:tcW w:w="918" w:type="dxa"/>
            <w:vAlign w:val="center"/>
          </w:tcPr>
          <w:p w14:paraId="0E86B800" w14:textId="77777777" w:rsidR="00AA1EFE" w:rsidRDefault="00AA1EFE" w:rsidP="00A94FA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14D93B7" w14:textId="77777777" w:rsidR="00AA1EFE" w:rsidRPr="002B5432" w:rsidRDefault="00AA1EFE" w:rsidP="00A94FA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662" w:type="dxa"/>
          </w:tcPr>
          <w:p w14:paraId="7828CAC3" w14:textId="77777777" w:rsidR="00AA1EFE" w:rsidRPr="008C14FB" w:rsidRDefault="00AA1EFE" w:rsidP="00A94FA7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4FF7A1A3" w14:textId="77777777" w:rsidR="00AA1EFE" w:rsidRPr="002B5432" w:rsidRDefault="00AA1EFE" w:rsidP="00A94FA7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371" w:type="dxa"/>
          </w:tcPr>
          <w:p w14:paraId="6A00BB5C" w14:textId="77777777" w:rsidR="00AA1EFE" w:rsidRPr="002B5432" w:rsidRDefault="00AA1EFE" w:rsidP="00A94FA7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3920ADC3" w14:textId="77777777" w:rsidR="00AA1EFE" w:rsidRPr="002B5432" w:rsidRDefault="00AA1EFE" w:rsidP="00A94FA7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A1EFE" w:rsidRPr="002B5432" w14:paraId="7AD018F8" w14:textId="77777777" w:rsidTr="00DA22C3">
        <w:trPr>
          <w:trHeight w:val="1501"/>
        </w:trPr>
        <w:tc>
          <w:tcPr>
            <w:tcW w:w="918" w:type="dxa"/>
          </w:tcPr>
          <w:p w14:paraId="4251A85A" w14:textId="77777777" w:rsidR="00AA1EFE" w:rsidRPr="00DA22C3" w:rsidRDefault="00540B47" w:rsidP="00C0029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A22C3">
              <w:rPr>
                <w:rFonts w:ascii="Garamond" w:hAnsi="Garamond"/>
                <w:b/>
                <w:sz w:val="22"/>
                <w:szCs w:val="22"/>
              </w:rPr>
              <w:t>2.1.1</w:t>
            </w:r>
          </w:p>
        </w:tc>
        <w:tc>
          <w:tcPr>
            <w:tcW w:w="6662" w:type="dxa"/>
          </w:tcPr>
          <w:p w14:paraId="51B46953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8. </w:t>
            </w: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1B247527" wp14:editId="60AF0945">
                  <wp:extent cx="923925" cy="333375"/>
                  <wp:effectExtent l="0" t="0" r="9525" b="0"/>
                  <wp:docPr id="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заявок для балансирования системы;</w:t>
            </w:r>
          </w:p>
          <w:p w14:paraId="11396CD2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36038D6F" wp14:editId="4155AE58">
                  <wp:extent cx="933450" cy="333375"/>
                  <wp:effectExtent l="0" t="0" r="0" b="0"/>
                  <wp:docPr id="2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верхнего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заявок для балансирования системы;</w:t>
            </w:r>
          </w:p>
          <w:p w14:paraId="63107BB2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0F0E49B4" wp14:editId="322E28CD">
                  <wp:extent cx="933450" cy="333375"/>
                  <wp:effectExtent l="0" t="0" r="0" b="0"/>
                  <wp:docPr id="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12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0A66397A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2FE012F8" wp14:editId="42448D69">
                  <wp:extent cx="971550" cy="323850"/>
                  <wp:effectExtent l="0" t="0" r="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верхнего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14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0EB7C0AF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lastRenderedPageBreak/>
              <w:drawing>
                <wp:inline distT="0" distB="0" distL="0" distR="0" wp14:anchorId="5AF1BC66" wp14:editId="06D58B4C">
                  <wp:extent cx="1143000" cy="333375"/>
                  <wp:effectExtent l="0" t="0" r="0" b="0"/>
                  <wp:docPr id="5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максимума из технического и технологического минимумов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заявок для балансирования системы;</w:t>
            </w:r>
          </w:p>
          <w:p w14:paraId="3A67B85D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494D87D9" wp14:editId="3E61743D">
                  <wp:extent cx="1190625" cy="333375"/>
                  <wp:effectExtent l="0" t="0" r="0" b="0"/>
                  <wp:docPr id="6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минимума из технического и технологического максимумов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заявок для балансирования системы;</w:t>
            </w:r>
          </w:p>
          <w:p w14:paraId="3818A9DE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3BB50AEC" wp14:editId="2B70D381">
                  <wp:extent cx="1143000" cy="333375"/>
                  <wp:effectExtent l="0" t="0" r="0" b="0"/>
                  <wp:docPr id="7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максимума из технического и технологического минимумов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18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5397A93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226ED88D" wp14:editId="11766727">
                  <wp:extent cx="1190625" cy="333375"/>
                  <wp:effectExtent l="0" t="0" r="9525" b="0"/>
                  <wp:docPr id="8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минимума из технического и технологического максимумов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20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29201379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40" w:dyaOrig="400" w14:anchorId="065FF30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4pt;height:21.9pt" o:ole="">
                  <v:imagedata r:id="rId21" o:title=""/>
                </v:shape>
                <o:OLEObject Type="Embed" ProgID="Equation.3" ShapeID="_x0000_i1025" DrawAspect="Content" ObjectID="_1659362622" r:id="rId22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 величина минимумов 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активной мощности генерирующего оборудования, определенных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10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) по системным условиям и учтенных СО при актуализации расчетной модели, используемой при проведении конкурентного отбора заявок для балансирования системы.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4E97DA07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60" w:dyaOrig="400" w14:anchorId="29FBEFD3">
                <v:shape id="_x0000_i1026" type="#_x0000_t75" style="width:93.3pt;height:21.9pt" o:ole="">
                  <v:imagedata r:id="rId23" o:title=""/>
                </v:shape>
                <o:OLEObject Type="Embed" ProgID="Equation.3" ShapeID="_x0000_i1026" DrawAspect="Content" ObjectID="_1659362623" r:id="rId24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―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величина максимума активной мощности генерирующего оборудования, определенная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10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 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по системным условиям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и учтенных СО при актуализации</w:t>
            </w:r>
            <w:r w:rsidRPr="00540B47" w:rsidDel="009C493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расчетной модели, используемой при проведении конкурентного отбора заявок для балансирования системы.</w:t>
            </w:r>
          </w:p>
          <w:p w14:paraId="32942CEA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40" w:dyaOrig="400" w14:anchorId="412C2AAC">
                <v:shape id="_x0000_i1027" type="#_x0000_t75" style="width:86.4pt;height:21.9pt" o:ole="">
                  <v:imagedata r:id="rId25" o:title=""/>
                </v:shape>
                <o:OLEObject Type="Embed" ProgID="Equation.3" ShapeID="_x0000_i1027" DrawAspect="Content" ObjectID="_1659362624" r:id="rId26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величина минимумов активной мощности генерирующего оборудования, определенных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актуализации расчетной модели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 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по системным условиям, не связанным с состоянием оборудования участника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передаваемых в КО в составе актуализированной расчетной модели, используемой при проведении конкурентного отбора ценовых заявок на сутки вперед.</w:t>
            </w:r>
          </w:p>
          <w:p w14:paraId="049761DD" w14:textId="21BF5BBC" w:rsidR="00AA1EFE" w:rsidRPr="00DA22C3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60" w:dyaOrig="400" w14:anchorId="566DEB17">
                <v:shape id="_x0000_i1028" type="#_x0000_t75" style="width:93.3pt;height:21.9pt" o:ole="">
                  <v:imagedata r:id="rId27" o:title=""/>
                </v:shape>
                <o:OLEObject Type="Embed" ProgID="Equation.3" ShapeID="_x0000_i1028" DrawAspect="Content" ObjectID="_1659362625" r:id="rId28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величина максимумов активной мощности генерирующего оборудования, определенных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актуализации расчетной модели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 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по системным условиям, не связанным с состоянием оборудования участника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передаваемых в КО в составе актуализированной расчетной модели, используемой при проведении конкурентного отбора ценовых заявок на сутки вперед.</w:t>
            </w:r>
          </w:p>
        </w:tc>
        <w:tc>
          <w:tcPr>
            <w:tcW w:w="7371" w:type="dxa"/>
          </w:tcPr>
          <w:p w14:paraId="3E921D26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8. </w:t>
            </w: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51E0ACB1" wp14:editId="334DEC40">
                  <wp:extent cx="923925" cy="333375"/>
                  <wp:effectExtent l="0" t="0" r="9525" b="0"/>
                  <wp:docPr id="9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явок для балансирования системы;</w:t>
            </w:r>
          </w:p>
          <w:p w14:paraId="067507AF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4F6D26F2" wp14:editId="297BE7A2">
                  <wp:extent cx="933450" cy="333375"/>
                  <wp:effectExtent l="0" t="0" r="0" b="0"/>
                  <wp:docPr id="10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верхнего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заявок для балансирования системы;</w:t>
            </w:r>
          </w:p>
          <w:p w14:paraId="52B485FC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117203E7" wp14:editId="5E0C646C">
                  <wp:extent cx="933450" cy="333375"/>
                  <wp:effectExtent l="0" t="0" r="0" b="0"/>
                  <wp:docPr id="1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29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72850456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1C756338" wp14:editId="5E6C28F8">
                  <wp:extent cx="971550" cy="323850"/>
                  <wp:effectExtent l="0" t="0" r="0" b="0"/>
                  <wp:docPr id="1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верхнего предела регулирования генерирующего оборудования, определенного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30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740457BE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766C92D3" wp14:editId="3E499599">
                  <wp:extent cx="1143000" cy="333375"/>
                  <wp:effectExtent l="0" t="0" r="0" b="0"/>
                  <wp:docPr id="13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максимума из технического 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и технологического минимумов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заявок для балансирования системы;</w:t>
            </w:r>
          </w:p>
          <w:p w14:paraId="65A701A4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27FCEC9E" wp14:editId="2D0E41AA">
                  <wp:extent cx="1190625" cy="333375"/>
                  <wp:effectExtent l="0" t="0" r="0" b="0"/>
                  <wp:docPr id="14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минимума из технического и технологического максимумов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используемой при проведении конкурентного отбора заявок для балансирования системы;</w:t>
            </w:r>
          </w:p>
          <w:p w14:paraId="52F6E6E4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  <w:sz w:val="22"/>
                <w:szCs w:val="20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16F9EF8D" wp14:editId="0D67B111">
                  <wp:extent cx="1143000" cy="333375"/>
                  <wp:effectExtent l="0" t="0" r="0" b="0"/>
                  <wp:docPr id="1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максимума из технического и технологического минимумов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31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65048B66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5E009F88" wp14:editId="58F513C0">
                  <wp:extent cx="1190625" cy="333375"/>
                  <wp:effectExtent l="0" t="0" r="9525" b="0"/>
                  <wp:docPr id="16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, величина минимума из технического и технологического максимумов генерирующего оборудования, определенных для данной РГЕ на данный час </w:t>
            </w:r>
            <w:r w:rsidRPr="00540B47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согласно актуализированной расчетной модели, переданной СО Коммерческому оператору в соответствии с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) и используемой при проведении </w:t>
            </w:r>
            <w:hyperlink r:id="rId32" w:history="1">
              <w:r w:rsidRPr="00540B47">
                <w:rPr>
                  <w:rFonts w:ascii="Garamond" w:hAnsi="Garamond"/>
                  <w:color w:val="000000"/>
                  <w:sz w:val="22"/>
                  <w:szCs w:val="22"/>
                  <w:lang w:eastAsia="en-US"/>
                </w:rPr>
                <w:t>конкурентного отбора ценовых заявок на сутки вперед</w:t>
              </w:r>
            </w:hyperlink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A64A856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40" w:dyaOrig="400" w14:anchorId="4D038371">
                <v:shape id="_x0000_i1029" type="#_x0000_t75" style="width:86.4pt;height:21.9pt" o:ole="">
                  <v:imagedata r:id="rId21" o:title=""/>
                </v:shape>
                <o:OLEObject Type="Embed" ProgID="Equation.3" ShapeID="_x0000_i1029" DrawAspect="Content" ObjectID="_1659362626" r:id="rId33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 величина минимумов активной мощности генерирующего оборудования, определенных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10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 по системным условиям и учтенных СО при актуализации расчетной модели, используемой при проведении 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>конкурентного отбора заявок для балансирования системы.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029AD4BF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60" w:dyaOrig="400" w14:anchorId="1AD665F6">
                <v:shape id="_x0000_i1030" type="#_x0000_t75" style="width:93.3pt;height:21.9pt" o:ole="">
                  <v:imagedata r:id="rId23" o:title=""/>
                </v:shape>
                <o:OLEObject Type="Embed" ProgID="Equation.3" ShapeID="_x0000_i1030" DrawAspect="Content" ObjectID="_1659362627" r:id="rId34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―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величина максимума активной мощности генерирующего оборудования, определенная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проведения конкурентного отбора заявок для балансирования системы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10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 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по системным условиям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и учтенных СО при актуализации</w:t>
            </w:r>
            <w:r w:rsidRPr="00540B47" w:rsidDel="009C493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расчетной модели, используемой при проведении конкурентного отбора заявок для балансирования системы.</w:t>
            </w:r>
          </w:p>
          <w:p w14:paraId="08E04D46" w14:textId="77777777" w:rsidR="00540B47" w:rsidRP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40" w:dyaOrig="400" w14:anchorId="2E125507">
                <v:shape id="_x0000_i1031" type="#_x0000_t75" style="width:86.4pt;height:21.9pt" o:ole="">
                  <v:imagedata r:id="rId25" o:title=""/>
                </v:shape>
                <o:OLEObject Type="Embed" ProgID="Equation.3" ShapeID="_x0000_i1031" DrawAspect="Content" ObjectID="_1659362628" r:id="rId35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величина минимумов активной мощности генерирующего оборудования, определенных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актуализации расчетной модели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 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по системным условиям, не связанным с состоянием оборудования участника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передаваемых в КО в составе актуализированной расчетной модели, используемой при проведении конкурентного отбора ценовых заявок на сутки вперед.</w:t>
            </w:r>
          </w:p>
          <w:p w14:paraId="20013E84" w14:textId="77777777" w:rsidR="00540B47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540B47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GB" w:eastAsia="en-US"/>
              </w:rPr>
              <w:object w:dxaOrig="1460" w:dyaOrig="400" w14:anchorId="1054AC09">
                <v:shape id="_x0000_i1032" type="#_x0000_t75" style="width:93.3pt;height:21.9pt" o:ole="">
                  <v:imagedata r:id="rId27" o:title=""/>
                </v:shape>
                <o:OLEObject Type="Embed" ProgID="Equation.3" ShapeID="_x0000_i1032" DrawAspect="Content" ObjectID="_1659362629" r:id="rId36"/>
              </w:objec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суммарная по РГЕ, включенным в данную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участника оптового рынка </w:t>
            </w:r>
            <w:proofErr w:type="spellStart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i</w:t>
            </w:r>
            <w:proofErr w:type="spellEnd"/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величина максимумов активной мощности генерирующего оборудования, определенных СО для данной РГЕ на данный час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h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,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в соответствии с п. 3.1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Регламента актуализации расчетной модели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(Приложение №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val="en-GB" w:eastAsia="en-US"/>
              </w:rPr>
              <w:t> 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3 к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) </w:t>
            </w:r>
            <w:r w:rsidRPr="00540B47">
              <w:rPr>
                <w:rFonts w:ascii="Garamond" w:hAnsi="Garamond"/>
                <w:sz w:val="22"/>
                <w:szCs w:val="22"/>
                <w:lang w:eastAsia="en-US"/>
              </w:rPr>
              <w:t>по системным условиям, не связанным с состоянием оборудования участника</w:t>
            </w:r>
            <w:r w:rsidRPr="00540B4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 передаваемых в КО в составе актуализированной расчетной модели, используемой при проведении конкурентного отбора ценовых заявок на сутки вперед.</w:t>
            </w:r>
          </w:p>
          <w:p w14:paraId="04CB001D" w14:textId="452F112A" w:rsidR="00AA1EFE" w:rsidRPr="00DA22C3" w:rsidRDefault="00540B47" w:rsidP="00A94FA7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995DEE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случае если любое приведенное в данном подпункте ограничение для ГТП генерации </w:t>
            </w:r>
            <w:r w:rsidRPr="00540B4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eastAsia="en-US"/>
              </w:rPr>
              <w:t>р</w:t>
            </w:r>
            <w:r w:rsidRPr="00995DEE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995DEE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имеет отрицательное значение, для целей </w:t>
            </w:r>
            <w:r w:rsidR="00995DEE" w:rsidRPr="00995DEE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проведения</w:t>
            </w:r>
            <w:r w:rsidRPr="00995DEE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расчетов в соответствии с </w:t>
            </w:r>
            <w:r w:rsidR="00995DEE" w:rsidRPr="00995DEE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настоящим Регламентом данная величина принимается равной нулю.</w:t>
            </w:r>
          </w:p>
        </w:tc>
      </w:tr>
    </w:tbl>
    <w:p w14:paraId="4698A393" w14:textId="77777777" w:rsidR="00D00720" w:rsidRDefault="00D00720"/>
    <w:sectPr w:rsidR="00D00720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EC0E557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  <w:szCs w:val="22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russianLower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659433B"/>
    <w:multiLevelType w:val="hybridMultilevel"/>
    <w:tmpl w:val="D6728702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1219081B"/>
    <w:multiLevelType w:val="hybridMultilevel"/>
    <w:tmpl w:val="35DC8280"/>
    <w:lvl w:ilvl="0" w:tplc="C458106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</w:lvl>
    <w:lvl w:ilvl="1" w:tplc="897824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4E86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A439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F80D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ADE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F2B4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867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0294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2A09FF"/>
    <w:multiLevelType w:val="hybridMultilevel"/>
    <w:tmpl w:val="17A0B4BC"/>
    <w:lvl w:ilvl="0" w:tplc="FFFFFFF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Garamond" w:hAnsi="Garamond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2571078F"/>
    <w:multiLevelType w:val="hybridMultilevel"/>
    <w:tmpl w:val="58FADD12"/>
    <w:lvl w:ilvl="0" w:tplc="DFC2C27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</w:lvl>
    <w:lvl w:ilvl="1" w:tplc="B9C2D1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A253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2868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A6E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21A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949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85D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94AE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FA0525"/>
    <w:multiLevelType w:val="hybridMultilevel"/>
    <w:tmpl w:val="AEBCDD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D1B50"/>
    <w:multiLevelType w:val="hybridMultilevel"/>
    <w:tmpl w:val="7A56ADC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5C07447D"/>
    <w:multiLevelType w:val="hybridMultilevel"/>
    <w:tmpl w:val="E7A647D4"/>
    <w:lvl w:ilvl="0" w:tplc="04090005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14680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D8A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85C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7483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8094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E8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D0D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61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27516"/>
    <w:multiLevelType w:val="hybridMultilevel"/>
    <w:tmpl w:val="2B8C2804"/>
    <w:lvl w:ilvl="0" w:tplc="040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</w:lvl>
    <w:lvl w:ilvl="2">
      <w:start w:val="1"/>
      <w:numFmt w:val="decimal"/>
      <w:lvlText w:val="%2.%3"/>
      <w:legacy w:legacy="1" w:legacySpace="120" w:legacyIndent="360"/>
      <w:lvlJc w:val="left"/>
    </w:lvl>
    <w:lvl w:ilvl="3">
      <w:start w:val="1"/>
      <w:numFmt w:val="decimal"/>
      <w:lvlText w:val="%2.%3.%4"/>
      <w:legacy w:legacy="1" w:legacySpace="120" w:legacyIndent="360"/>
      <w:lvlJc w:val="left"/>
    </w:lvl>
    <w:lvl w:ilvl="4">
      <w:start w:val="1"/>
      <w:numFmt w:val="decimal"/>
      <w:lvlText w:val="%5)"/>
      <w:legacy w:legacy="1" w:legacySpace="120" w:legacyIndent="360"/>
      <w:lvlJc w:val="left"/>
    </w:lvl>
    <w:lvl w:ilvl="5">
      <w:start w:val="1"/>
      <w:numFmt w:val="lowerRoman"/>
      <w:lvlText w:val="%6)"/>
      <w:legacy w:legacy="1" w:legacySpace="120" w:legacyIndent="360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1" w15:restartNumberingAfterBreak="0">
    <w:nsid w:val="70BB7BB8"/>
    <w:multiLevelType w:val="hybridMultilevel"/>
    <w:tmpl w:val="46626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BC10AC"/>
    <w:multiLevelType w:val="hybridMultilevel"/>
    <w:tmpl w:val="70FCDEF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75445"/>
    <w:rsid w:val="001456AC"/>
    <w:rsid w:val="00225F41"/>
    <w:rsid w:val="00326986"/>
    <w:rsid w:val="003778C6"/>
    <w:rsid w:val="003A5911"/>
    <w:rsid w:val="003C0BBD"/>
    <w:rsid w:val="003D57F8"/>
    <w:rsid w:val="00493F9F"/>
    <w:rsid w:val="00523FC4"/>
    <w:rsid w:val="005276DE"/>
    <w:rsid w:val="00540B47"/>
    <w:rsid w:val="00583D5E"/>
    <w:rsid w:val="005C4082"/>
    <w:rsid w:val="005E75CE"/>
    <w:rsid w:val="00656C96"/>
    <w:rsid w:val="00685E7E"/>
    <w:rsid w:val="00752386"/>
    <w:rsid w:val="008A794A"/>
    <w:rsid w:val="00910917"/>
    <w:rsid w:val="00921D52"/>
    <w:rsid w:val="00995DEE"/>
    <w:rsid w:val="009D09B8"/>
    <w:rsid w:val="00A94FA7"/>
    <w:rsid w:val="00AA1EFE"/>
    <w:rsid w:val="00AD1C8F"/>
    <w:rsid w:val="00AD6354"/>
    <w:rsid w:val="00B55CDA"/>
    <w:rsid w:val="00B63D24"/>
    <w:rsid w:val="00B65ECF"/>
    <w:rsid w:val="00C00296"/>
    <w:rsid w:val="00D00720"/>
    <w:rsid w:val="00DA22C3"/>
    <w:rsid w:val="00FA02BA"/>
    <w:rsid w:val="00FE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B885567"/>
  <w15:docId w15:val="{3720FB6D-94C3-43F8-AE84-5F28F1D0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1">
    <w:name w:val="heading 1"/>
    <w:aliases w:val="Заголовок параграфа (1.),Section,Section Heading,level2 hdg,111"/>
    <w:basedOn w:val="a"/>
    <w:next w:val="20"/>
    <w:link w:val="10"/>
    <w:qFormat/>
    <w:rsid w:val="009D09B8"/>
    <w:pPr>
      <w:keepNext/>
      <w:pageBreakBefore/>
      <w:spacing w:before="240" w:after="240"/>
      <w:outlineLvl w:val="0"/>
    </w:pPr>
    <w:rPr>
      <w:b/>
      <w:kern w:val="28"/>
      <w:sz w:val="28"/>
      <w:szCs w:val="20"/>
      <w:lang w:eastAsia="en-US"/>
    </w:rPr>
  </w:style>
  <w:style w:type="paragraph" w:styleId="20">
    <w:name w:val="heading 2"/>
    <w:aliases w:val="Заголовок пункта (1.1),h2,h21,Reset numbering,5,222"/>
    <w:basedOn w:val="a"/>
    <w:next w:val="a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Заголовок подпукта (1.1.1),Level 1 - 1,H3,o"/>
    <w:basedOn w:val="a"/>
    <w:next w:val="a"/>
    <w:link w:val="30"/>
    <w:unhideWhenUsed/>
    <w:qFormat/>
    <w:rsid w:val="009D09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aliases w:val="Sub-Minor,Level 2 - a,H4,H41"/>
    <w:basedOn w:val="a"/>
    <w:next w:val="a"/>
    <w:link w:val="40"/>
    <w:unhideWhenUsed/>
    <w:qFormat/>
    <w:rsid w:val="00225F4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"/>
    <w:link w:val="50"/>
    <w:qFormat/>
    <w:rsid w:val="009D09B8"/>
    <w:pPr>
      <w:tabs>
        <w:tab w:val="num" w:pos="360"/>
      </w:tabs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9D09B8"/>
    <w:pPr>
      <w:tabs>
        <w:tab w:val="num" w:pos="0"/>
      </w:tabs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9D09B8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9D09B8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9D09B8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subclauseindent">
    <w:name w:val="subclauseindent"/>
    <w:basedOn w:val="a"/>
    <w:uiPriority w:val="99"/>
    <w:rsid w:val="005276DE"/>
    <w:pPr>
      <w:spacing w:before="120" w:after="120"/>
      <w:ind w:left="1701"/>
      <w:jc w:val="both"/>
    </w:pPr>
    <w:rPr>
      <w:sz w:val="22"/>
      <w:szCs w:val="20"/>
      <w:lang w:eastAsia="en-US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semiHidden/>
    <w:rsid w:val="00225F4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3">
    <w:name w:val="List Paragraph"/>
    <w:basedOn w:val="a"/>
    <w:uiPriority w:val="34"/>
    <w:qFormat/>
    <w:rsid w:val="00225F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aliases w:val="Заголовок подпукта (1.1.1) Знак,Level 1 - 1 Знак,H3 Знак,o Знак"/>
    <w:basedOn w:val="a0"/>
    <w:link w:val="3"/>
    <w:semiHidden/>
    <w:rsid w:val="009D09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9D09B8"/>
    <w:rPr>
      <w:b/>
      <w:kern w:val="28"/>
      <w:sz w:val="28"/>
      <w:lang w:eastAsia="en-US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9D09B8"/>
    <w:rPr>
      <w:sz w:val="22"/>
      <w:lang w:eastAsia="en-US"/>
    </w:rPr>
  </w:style>
  <w:style w:type="character" w:customStyle="1" w:styleId="60">
    <w:name w:val="Заголовок 6 Знак"/>
    <w:aliases w:val="Legal Level 1. Знак"/>
    <w:basedOn w:val="a0"/>
    <w:link w:val="6"/>
    <w:rsid w:val="009D09B8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9D09B8"/>
    <w:rPr>
      <w:rFonts w:ascii="Garamond" w:hAnsi="Garamond"/>
      <w:sz w:val="22"/>
      <w:lang w:eastAsia="en-US"/>
    </w:rPr>
  </w:style>
  <w:style w:type="character" w:customStyle="1" w:styleId="80">
    <w:name w:val="Заголовок 8 Знак"/>
    <w:aliases w:val="Legal Level 1.1.1. Знак"/>
    <w:basedOn w:val="a0"/>
    <w:link w:val="8"/>
    <w:rsid w:val="009D09B8"/>
    <w:rPr>
      <w:rFonts w:ascii="Arial" w:hAnsi="Arial"/>
      <w:i/>
      <w:lang w:eastAsia="en-US"/>
    </w:rPr>
  </w:style>
  <w:style w:type="character" w:customStyle="1" w:styleId="90">
    <w:name w:val="Заголовок 9 Знак"/>
    <w:aliases w:val="Legal Level 1.1.1.1. Знак"/>
    <w:basedOn w:val="a0"/>
    <w:link w:val="9"/>
    <w:rsid w:val="009D09B8"/>
    <w:rPr>
      <w:rFonts w:ascii="Arial" w:hAnsi="Arial"/>
      <w:i/>
      <w:sz w:val="18"/>
      <w:lang w:eastAsia="en-US"/>
    </w:rPr>
  </w:style>
  <w:style w:type="character" w:styleId="a4">
    <w:name w:val="annotation reference"/>
    <w:basedOn w:val="a0"/>
    <w:semiHidden/>
    <w:unhideWhenUsed/>
    <w:rsid w:val="009D09B8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D09B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9D09B8"/>
  </w:style>
  <w:style w:type="paragraph" w:styleId="a7">
    <w:name w:val="annotation subject"/>
    <w:basedOn w:val="a5"/>
    <w:next w:val="a5"/>
    <w:link w:val="a8"/>
    <w:semiHidden/>
    <w:unhideWhenUsed/>
    <w:rsid w:val="009D09B8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9D09B8"/>
    <w:rPr>
      <w:b/>
      <w:bCs/>
    </w:rPr>
  </w:style>
  <w:style w:type="paragraph" w:styleId="a9">
    <w:name w:val="Balloon Text"/>
    <w:basedOn w:val="a"/>
    <w:link w:val="aa"/>
    <w:semiHidden/>
    <w:unhideWhenUsed/>
    <w:rsid w:val="009D09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D0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-sr.ru/norem/marketregulation/joining/marketnorem/currentedition/index.htm?ssFolderId=163" TargetMode="External"/><Relationship Id="rId13" Type="http://schemas.openxmlformats.org/officeDocument/2006/relationships/image" Target="media/image4.wmf"/><Relationship Id="rId18" Type="http://schemas.openxmlformats.org/officeDocument/2006/relationships/hyperlink" Target="http://www.np-sr.ru/norem/marketregulation/joining/marketnorem/currentedition/index.htm?ssFolderId=54" TargetMode="External"/><Relationship Id="rId26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6.bin"/><Relationship Id="rId7" Type="http://schemas.openxmlformats.org/officeDocument/2006/relationships/hyperlink" Target="http://www.np-sr.ru/norem/marketregulation/joining/marketnorem/currentedition/index.htm?ssFolderId=163" TargetMode="External"/><Relationship Id="rId12" Type="http://schemas.openxmlformats.org/officeDocument/2006/relationships/hyperlink" Target="http://www.np-sr.ru/norem/marketregulation/joining/marketnorem/currentedition/index.htm?ssFolderId=54" TargetMode="Externa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5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hyperlink" Target="http://www.np-sr.ru/norem/marketregulation/joining/marketnorem/currentedition/index.htm?ssFolderId=54" TargetMode="External"/><Relationship Id="rId29" Type="http://schemas.openxmlformats.org/officeDocument/2006/relationships/hyperlink" Target="http://www.np-sr.ru/norem/marketregulation/joining/marketnorem/currentedition/index.htm?ssFolderId=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p-sr.ru/norem/marketregulation/joining/marketnorem/currentedition/index.htm?ssFolderId=163" TargetMode="External"/><Relationship Id="rId11" Type="http://schemas.openxmlformats.org/officeDocument/2006/relationships/image" Target="media/image3.wmf"/><Relationship Id="rId24" Type="http://schemas.openxmlformats.org/officeDocument/2006/relationships/oleObject" Target="embeddings/oleObject2.bin"/><Relationship Id="rId32" Type="http://schemas.openxmlformats.org/officeDocument/2006/relationships/hyperlink" Target="http://www.np-sr.ru/norem/marketregulation/joining/marketnorem/currentedition/index.htm?ssFolderId=54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np-sr.ru/norem/marketregulation/joining/marketnorem/currentedition/index.htm?ssFolderId=163" TargetMode="Externa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31" Type="http://schemas.openxmlformats.org/officeDocument/2006/relationships/hyperlink" Target="http://www.np-sr.ru/norem/marketregulation/joining/marketnorem/currentedition/index.htm?ssFolderId=5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http://www.np-sr.ru/norem/marketregulation/joining/marketnorem/currentedition/index.htm?ssFolderId=54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2.wmf"/><Relationship Id="rId30" Type="http://schemas.openxmlformats.org/officeDocument/2006/relationships/hyperlink" Target="http://www.np-sr.ru/norem/marketregulation/joining/marketnorem/currentedition/index.htm?ssFolderId=54" TargetMode="External"/><Relationship Id="rId35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5244</Words>
  <Characters>36736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Федяева Адиля Никитична</cp:lastModifiedBy>
  <cp:revision>15</cp:revision>
  <dcterms:created xsi:type="dcterms:W3CDTF">2020-07-27T09:44:00Z</dcterms:created>
  <dcterms:modified xsi:type="dcterms:W3CDTF">2020-08-19T14:17:00Z</dcterms:modified>
</cp:coreProperties>
</file>