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3D4" w:rsidRDefault="004753D4" w:rsidP="005A3F00">
      <w:pPr>
        <w:ind w:left="142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:rsidR="005A3F00" w:rsidRPr="003919E9" w:rsidRDefault="005A3F00" w:rsidP="005A3F00">
      <w:pPr>
        <w:ind w:left="142"/>
        <w:rPr>
          <w:rFonts w:ascii="Garamond" w:hAnsi="Garamond"/>
          <w:b/>
          <w:sz w:val="28"/>
          <w:szCs w:val="28"/>
        </w:rPr>
      </w:pPr>
      <w:r w:rsidRPr="003919E9">
        <w:rPr>
          <w:rFonts w:ascii="Garamond" w:hAnsi="Garamond"/>
          <w:b/>
          <w:sz w:val="28"/>
          <w:szCs w:val="28"/>
        </w:rPr>
        <w:t>Вопрос 1. Изменения, связанные с уточнением требований к участию в АВРЧМ ГЭС, функционирующих на</w:t>
      </w:r>
      <w:r>
        <w:rPr>
          <w:rFonts w:ascii="Garamond" w:hAnsi="Garamond"/>
          <w:b/>
          <w:sz w:val="28"/>
          <w:szCs w:val="28"/>
        </w:rPr>
        <w:t> </w:t>
      </w:r>
      <w:r w:rsidRPr="003919E9">
        <w:rPr>
          <w:rFonts w:ascii="Garamond" w:hAnsi="Garamond"/>
          <w:b/>
          <w:sz w:val="28"/>
          <w:szCs w:val="28"/>
        </w:rPr>
        <w:t>территориях, присоединенных к ЕЭС России</w:t>
      </w:r>
    </w:p>
    <w:p w:rsidR="005A3F00" w:rsidRPr="003919E9" w:rsidRDefault="005A3F00" w:rsidP="005A3F00">
      <w:pPr>
        <w:ind w:left="142"/>
        <w:rPr>
          <w:rFonts w:ascii="Garamond" w:hAnsi="Garamond"/>
          <w:b/>
          <w:sz w:val="28"/>
          <w:szCs w:val="28"/>
        </w:rPr>
      </w:pPr>
    </w:p>
    <w:p w:rsidR="005A3F00" w:rsidRPr="003919E9" w:rsidRDefault="005A3F00" w:rsidP="005A3F00">
      <w:pPr>
        <w:ind w:left="12036" w:right="-172"/>
        <w:jc w:val="right"/>
        <w:rPr>
          <w:rFonts w:ascii="Garamond" w:hAnsi="Garamond"/>
          <w:b/>
          <w:sz w:val="28"/>
          <w:szCs w:val="28"/>
        </w:rPr>
      </w:pPr>
      <w:r w:rsidRPr="003919E9">
        <w:rPr>
          <w:rFonts w:ascii="Garamond" w:hAnsi="Garamond"/>
          <w:b/>
          <w:sz w:val="28"/>
          <w:szCs w:val="28"/>
        </w:rPr>
        <w:t>Приложение № 1</w:t>
      </w:r>
    </w:p>
    <w:p w:rsidR="005A3F00" w:rsidRPr="003919E9" w:rsidRDefault="005A3F00" w:rsidP="005A3F00">
      <w:pPr>
        <w:ind w:left="12036"/>
        <w:jc w:val="center"/>
        <w:rPr>
          <w:rFonts w:ascii="Garamond" w:hAnsi="Garamond"/>
          <w:b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1"/>
      </w:tblGrid>
      <w:tr w:rsidR="005A3F00" w:rsidRPr="003919E9" w:rsidTr="006173C8">
        <w:trPr>
          <w:trHeight w:val="360"/>
        </w:trPr>
        <w:tc>
          <w:tcPr>
            <w:tcW w:w="14771" w:type="dxa"/>
          </w:tcPr>
          <w:p w:rsidR="005A3F00" w:rsidRPr="003919E9" w:rsidRDefault="005A3F00" w:rsidP="006173C8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3919E9">
              <w:rPr>
                <w:rFonts w:ascii="Garamond" w:hAnsi="Garamond" w:cs="Times New Roman"/>
                <w:b/>
                <w:sz w:val="24"/>
                <w:szCs w:val="24"/>
              </w:rPr>
              <w:t>Инициатор:</w:t>
            </w:r>
            <w:r w:rsidRPr="003919E9">
              <w:rPr>
                <w:rFonts w:ascii="Garamond" w:hAnsi="Garamond" w:cs="Times New Roman"/>
                <w:sz w:val="24"/>
                <w:szCs w:val="24"/>
              </w:rPr>
              <w:t xml:space="preserve"> член Наблюдательного совета Ассоциации «НП Совет рынка» Н.Г.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Pr="003919E9">
              <w:rPr>
                <w:rFonts w:ascii="Garamond" w:hAnsi="Garamond" w:cs="Times New Roman"/>
                <w:sz w:val="24"/>
                <w:szCs w:val="24"/>
              </w:rPr>
              <w:t>Шульгинов</w:t>
            </w:r>
            <w:r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:rsidR="005A3F00" w:rsidRDefault="005A3F00" w:rsidP="006173C8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3919E9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Pr="003919E9">
              <w:rPr>
                <w:rFonts w:ascii="Garamond" w:hAnsi="Garamond" w:cs="Times New Roman"/>
                <w:sz w:val="24"/>
                <w:szCs w:val="24"/>
              </w:rPr>
              <w:t xml:space="preserve"> в связи с отсутствием требований по участию в АВРЧМ на розничном рынке предлагается уточнить, что требование участия в АВРЧМ не распространяется на ГЭС в ценовых и неценовых зонах, ранее функционировавшие в технологически изолированных территориальных электроэнергетических системах, в период выполнения согласованного с СО плана-графика проведения технических мероприятий по приведению оборудования ГЭС в соответствие установленным требованиям по участию в АВРЧМ. </w:t>
            </w:r>
          </w:p>
          <w:p w:rsidR="005A3F00" w:rsidRPr="003919E9" w:rsidRDefault="005A3F00" w:rsidP="006173C8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3919E9">
              <w:rPr>
                <w:rFonts w:ascii="Garamond" w:hAnsi="Garamond" w:cs="Times New Roman"/>
                <w:b/>
                <w:sz w:val="24"/>
                <w:szCs w:val="24"/>
              </w:rPr>
              <w:t>Дата вступления в силу:</w:t>
            </w:r>
            <w:r w:rsidRPr="003919E9">
              <w:rPr>
                <w:rFonts w:ascii="Garamond" w:hAnsi="Garamond" w:cs="Times New Roman"/>
                <w:sz w:val="24"/>
                <w:szCs w:val="24"/>
              </w:rPr>
              <w:t xml:space="preserve"> 5 марта 2019 года и распространяют свое действие на отношения сторон по Договору о присоединении к торговой системе оптового рынка, возникшие с 1 февраля 2019 года.</w:t>
            </w:r>
          </w:p>
        </w:tc>
      </w:tr>
    </w:tbl>
    <w:p w:rsidR="005A3F00" w:rsidRPr="003919E9" w:rsidRDefault="005A3F00" w:rsidP="005A3F00">
      <w:pPr>
        <w:ind w:left="142"/>
        <w:jc w:val="center"/>
        <w:rPr>
          <w:rFonts w:ascii="Garamond" w:hAnsi="Garamond"/>
          <w:b/>
        </w:rPr>
      </w:pPr>
    </w:p>
    <w:p w:rsidR="005A3F00" w:rsidRPr="003919E9" w:rsidRDefault="005A3F00" w:rsidP="005A3F00">
      <w:pPr>
        <w:ind w:left="142"/>
        <w:rPr>
          <w:rFonts w:ascii="Garamond" w:hAnsi="Garamond"/>
          <w:b/>
          <w:sz w:val="26"/>
          <w:szCs w:val="26"/>
        </w:rPr>
      </w:pPr>
      <w:r w:rsidRPr="003919E9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ОПРЕДЕЛЕНИЯ ОБЪЕМОВ ФАКТИЧЕСКИ ПОСТАВЛЕННОЙ НА ОПТОВЫЙ РЫНОК МОЩНОСТИ (приложение № 13 к договору о присоединении к торговой системе оптового рынка)</w:t>
      </w:r>
    </w:p>
    <w:p w:rsidR="005A3F00" w:rsidRPr="003919E9" w:rsidRDefault="005A3F00" w:rsidP="005A3F00">
      <w:pPr>
        <w:ind w:left="142"/>
        <w:jc w:val="center"/>
        <w:rPr>
          <w:rFonts w:ascii="Garamond" w:hAnsi="Garamond"/>
          <w:b/>
        </w:rPr>
      </w:pPr>
    </w:p>
    <w:tbl>
      <w:tblPr>
        <w:tblW w:w="148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13"/>
        <w:gridCol w:w="6804"/>
      </w:tblGrid>
      <w:tr w:rsidR="005A3F00" w:rsidRPr="003F3A16" w:rsidTr="006173C8">
        <w:trPr>
          <w:tblHeader/>
        </w:trPr>
        <w:tc>
          <w:tcPr>
            <w:tcW w:w="992" w:type="dxa"/>
            <w:vAlign w:val="center"/>
          </w:tcPr>
          <w:p w:rsidR="005A3F00" w:rsidRPr="003F3A16" w:rsidRDefault="005A3F00" w:rsidP="006173C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F3A16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5A3F00" w:rsidRPr="003F3A16" w:rsidRDefault="005A3F00" w:rsidP="006173C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F3A16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013" w:type="dxa"/>
          </w:tcPr>
          <w:p w:rsidR="005A3F00" w:rsidRPr="003F3A16" w:rsidRDefault="005A3F00" w:rsidP="006173C8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5A3F00" w:rsidRPr="003F3A16" w:rsidRDefault="005A3F00" w:rsidP="006173C8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F3A16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04" w:type="dxa"/>
          </w:tcPr>
          <w:p w:rsidR="005A3F00" w:rsidRPr="003F3A16" w:rsidRDefault="005A3F00" w:rsidP="006173C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F3A16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5A3F00" w:rsidRPr="003F3A16" w:rsidRDefault="005A3F00" w:rsidP="006173C8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3F3A16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5A3F00" w:rsidRPr="003F3A16" w:rsidTr="006173C8">
        <w:trPr>
          <w:trHeight w:val="147"/>
        </w:trPr>
        <w:tc>
          <w:tcPr>
            <w:tcW w:w="992" w:type="dxa"/>
            <w:shd w:val="clear" w:color="auto" w:fill="auto"/>
            <w:vAlign w:val="center"/>
          </w:tcPr>
          <w:p w:rsidR="005A3F00" w:rsidRPr="003F3A16" w:rsidRDefault="005A3F00" w:rsidP="006173C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F3A16">
              <w:rPr>
                <w:rFonts w:ascii="Garamond" w:hAnsi="Garamond"/>
                <w:b/>
                <w:bCs/>
                <w:sz w:val="22"/>
                <w:szCs w:val="22"/>
              </w:rPr>
              <w:t>3.3.1</w:t>
            </w:r>
          </w:p>
        </w:tc>
        <w:tc>
          <w:tcPr>
            <w:tcW w:w="7013" w:type="dxa"/>
            <w:shd w:val="clear" w:color="auto" w:fill="auto"/>
          </w:tcPr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1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1" w:name="_Toc439084005"/>
            <w:bookmarkStart w:id="2" w:name="_Toc491710366"/>
            <w:bookmarkStart w:id="3" w:name="_Toc497986194"/>
            <w:bookmarkStart w:id="4" w:name="_Toc502318618"/>
            <w:bookmarkStart w:id="5" w:name="_Toc507079756"/>
            <w:bookmarkStart w:id="6" w:name="_Toc533846664"/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1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В согласованный с СО период проведения ремонтно-наладочных работ устройств автоматического вторичного регулирования</w:t>
            </w:r>
            <w:r w:rsidRPr="003F3A16">
              <w:rPr>
                <w:rFonts w:ascii="Garamond" w:hAnsi="Garamond"/>
                <w:sz w:val="22"/>
                <w:szCs w:val="22"/>
              </w:rPr>
              <w:t xml:space="preserve"> контроль участия генерирующего оборудования ГЭС в АВРЧМ </w:t>
            </w:r>
            <w:proofErr w:type="gramStart"/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осуществляется</w:t>
            </w:r>
            <w:proofErr w:type="gramEnd"/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 xml:space="preserve"> начиная с 46 (сорок шестых) суток фактического совокупного периода указанного ремонта. Совокупный период рассчитывается с 1 января текущего года, а в отношении 2016 года – с 1 августа 2016 года. При этом в течение всего срока проведения ремонтно-наладочных работ устройств автоматического вторичного регулирования осуществляется контроль оперативного вторичного регулирования.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Требование участия в АВРЧМ не распространяется на вводимые в эксплуатацию гидроэлектростанции с установленной мощностью более 100 МВт на этапе начального наполнения (заполнения) водохранилища:</w:t>
            </w:r>
          </w:p>
          <w:p w:rsidR="005A3F00" w:rsidRPr="003F3A16" w:rsidRDefault="005A3F00" w:rsidP="005A3F00">
            <w:pPr>
              <w:numPr>
                <w:ilvl w:val="0"/>
                <w:numId w:val="23"/>
              </w:numPr>
              <w:tabs>
                <w:tab w:val="left" w:pos="1276"/>
              </w:tabs>
              <w:spacing w:before="120" w:after="120"/>
              <w:ind w:left="1276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3F3A16">
              <w:rPr>
                <w:rFonts w:ascii="Garamond" w:hAnsi="Garamond"/>
                <w:sz w:val="22"/>
                <w:szCs w:val="22"/>
              </w:rPr>
              <w:lastRenderedPageBreak/>
              <w:t>в течение 3 месяцев с момента достижения расчетного по мощности напора гидроэлектростанции, если установленная мощность ГЭС составляет от 100 до 500 МВт;</w:t>
            </w:r>
          </w:p>
          <w:p w:rsidR="005A3F00" w:rsidRPr="003F3A16" w:rsidRDefault="005A3F00" w:rsidP="005A3F00">
            <w:pPr>
              <w:numPr>
                <w:ilvl w:val="0"/>
                <w:numId w:val="23"/>
              </w:numPr>
              <w:tabs>
                <w:tab w:val="left" w:pos="1276"/>
              </w:tabs>
              <w:spacing w:before="120" w:after="120"/>
              <w:ind w:left="1276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3F3A16">
              <w:rPr>
                <w:rFonts w:ascii="Garamond" w:hAnsi="Garamond"/>
                <w:sz w:val="22"/>
                <w:szCs w:val="22"/>
              </w:rPr>
              <w:t>в течение 6 месяцев с момента достижения расчетного по мощности напора гидроэлектростанции, если установленная мощность ГЭС составляет более 500 МВт</w:t>
            </w:r>
            <w:r w:rsidRPr="003F3A16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Расчетный по мощности напор гидроэлектростанции определяется в соответствии с правилами использования соответствующего водохранилища, утвержденными Федеральным агентством водных ресурсов.</w:t>
            </w:r>
          </w:p>
          <w:p w:rsidR="005A3F00" w:rsidRPr="003F3A16" w:rsidRDefault="005A3F00" w:rsidP="003F3A16">
            <w:pPr>
              <w:pStyle w:val="3"/>
              <w:numPr>
                <w:ilvl w:val="0"/>
                <w:numId w:val="0"/>
              </w:numPr>
              <w:ind w:left="34" w:firstLine="567"/>
              <w:rPr>
                <w:rFonts w:ascii="Garamond" w:hAnsi="Garamond"/>
                <w:b w:val="0"/>
                <w:color w:val="000000"/>
                <w:szCs w:val="22"/>
              </w:rPr>
            </w:pPr>
            <w:r w:rsidRPr="003F3A16">
              <w:rPr>
                <w:rFonts w:ascii="Garamond" w:hAnsi="Garamond"/>
                <w:b w:val="0"/>
                <w:color w:val="000000"/>
                <w:szCs w:val="22"/>
                <w:lang w:eastAsia="ru-RU"/>
              </w:rPr>
              <w:t xml:space="preserve">В отношении ГЭС с установленной мощностью более 100 МВт неучастие в АВРЧМ не регистрируется </w:t>
            </w:r>
            <w:r w:rsidRPr="003F3A16">
              <w:rPr>
                <w:rFonts w:ascii="Garamond" w:hAnsi="Garamond"/>
                <w:b w:val="0"/>
                <w:color w:val="000000"/>
                <w:szCs w:val="22"/>
              </w:rPr>
              <w:t>в отношении части генерирующего оборудования такой ГЭС, по которой в установленном порядке подтверждена возможность участия в АВРЧМ.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6804" w:type="dxa"/>
            <w:shd w:val="clear" w:color="auto" w:fill="auto"/>
          </w:tcPr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1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…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1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В согласованный с СО период проведения ремонтно-наладочных работ устройств автоматического вторичного регулирования</w:t>
            </w:r>
            <w:r w:rsidRPr="003F3A16">
              <w:rPr>
                <w:rFonts w:ascii="Garamond" w:hAnsi="Garamond"/>
                <w:sz w:val="22"/>
                <w:szCs w:val="22"/>
              </w:rPr>
              <w:t xml:space="preserve"> контроль участия генерирующего оборудования ГЭС в АВРЧМ </w:t>
            </w:r>
            <w:proofErr w:type="gramStart"/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осуществляется</w:t>
            </w:r>
            <w:proofErr w:type="gramEnd"/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 xml:space="preserve"> начиная с 46 (сорок шестых) суток фактического совокупного периода указанного ремонта. Совокупный период рассчитывается с 1 января текущего года, а в отношении 2016 года – с 1 августа 2016 года. При этом 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br/>
              <w:t>в течение всего срока проведения ремонтно-наладочных работ устройств автоматического вторичного регулирования осуществляется контроль оперативного вторичного регулирования.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Требование участия в АВРЧМ не распространяется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1)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 xml:space="preserve"> на вводимые в эксплуатацию гидроэлектростанции 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br/>
              <w:t>с установленной мощностью более 100 МВт на этапе начального наполнения (заполнения) водохранилища:</w:t>
            </w:r>
          </w:p>
          <w:p w:rsidR="005A3F00" w:rsidRPr="003F3A16" w:rsidRDefault="005A3F00" w:rsidP="005A3F00">
            <w:pPr>
              <w:numPr>
                <w:ilvl w:val="0"/>
                <w:numId w:val="23"/>
              </w:numPr>
              <w:tabs>
                <w:tab w:val="left" w:pos="1276"/>
              </w:tabs>
              <w:spacing w:before="120" w:after="120"/>
              <w:ind w:left="1276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3F3A16">
              <w:rPr>
                <w:rFonts w:ascii="Garamond" w:hAnsi="Garamond"/>
                <w:sz w:val="22"/>
                <w:szCs w:val="22"/>
              </w:rPr>
              <w:lastRenderedPageBreak/>
              <w:t>в течение 3 месяцев с момента достижения расчетного по мощности напора гидроэлектростанции, если установленная мощность ГЭС составляет от 100 до 500 МВт;</w:t>
            </w:r>
          </w:p>
          <w:p w:rsidR="005A3F00" w:rsidRPr="003F3A16" w:rsidRDefault="005A3F00" w:rsidP="005A3F00">
            <w:pPr>
              <w:numPr>
                <w:ilvl w:val="0"/>
                <w:numId w:val="23"/>
              </w:numPr>
              <w:tabs>
                <w:tab w:val="left" w:pos="1276"/>
              </w:tabs>
              <w:spacing w:before="120" w:after="120"/>
              <w:ind w:left="1276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3F3A16">
              <w:rPr>
                <w:rFonts w:ascii="Garamond" w:hAnsi="Garamond"/>
                <w:sz w:val="22"/>
                <w:szCs w:val="22"/>
              </w:rPr>
              <w:t>в течение 6 месяцев с момента достижения расчетного по мощности напора гидроэлектростанции, если установленная мощность ГЭС составляет более 500 МВт</w:t>
            </w:r>
            <w:r w:rsidRPr="003F3A16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2)</w:t>
            </w:r>
            <w:r w:rsid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до 1 ноября 2019 года –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на генерирующее оборудование гидроэлектростанций, функционирующих на территориях, ранее являвшихся технологически изолированными территориальными электроэнергетическими системами или относившихся 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br/>
              <w:t xml:space="preserve">к территориям, технологически не связанным с ЕЭС России </w:t>
            </w:r>
            <w:r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br/>
              <w:t>и технологически изолированными территориальными электроэнергетическими системами, в период выполнения согласованного с СО плана-графика проведения технических мероприятий по приведению оборудования ГЭС в соответствие установленным</w:t>
            </w:r>
            <w:r w:rsidR="008A6C83" w:rsidRPr="003F3A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требованиям по участию в АВРЧМ</w:t>
            </w:r>
            <w:r w:rsidR="005601A2" w:rsidRPr="003F3A16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5A3F00" w:rsidRPr="003F3A16" w:rsidRDefault="005A3F00" w:rsidP="006173C8">
            <w:pPr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F3A16">
              <w:rPr>
                <w:rFonts w:ascii="Garamond" w:hAnsi="Garamond"/>
                <w:color w:val="000000"/>
                <w:sz w:val="22"/>
                <w:szCs w:val="22"/>
              </w:rPr>
              <w:t>Расчетный по мощности напор гидроэлектростанции определяется в соответствии с правилами использования соответствующего водохранилища, утвержденными Федеральным агентством водных ресурсов.</w:t>
            </w:r>
          </w:p>
          <w:p w:rsidR="005A3F00" w:rsidRPr="003F3A16" w:rsidRDefault="005A3F00" w:rsidP="003F3A16">
            <w:pPr>
              <w:pStyle w:val="3"/>
              <w:numPr>
                <w:ilvl w:val="0"/>
                <w:numId w:val="0"/>
              </w:numPr>
              <w:ind w:firstLine="676"/>
              <w:rPr>
                <w:rFonts w:ascii="Garamond" w:hAnsi="Garamond"/>
                <w:b w:val="0"/>
                <w:color w:val="000000"/>
                <w:szCs w:val="22"/>
              </w:rPr>
            </w:pPr>
            <w:r w:rsidRPr="003F3A16">
              <w:rPr>
                <w:rFonts w:ascii="Garamond" w:hAnsi="Garamond"/>
                <w:b w:val="0"/>
                <w:color w:val="000000"/>
                <w:szCs w:val="22"/>
                <w:lang w:eastAsia="ru-RU"/>
              </w:rPr>
              <w:t xml:space="preserve">В отношении ГЭС с установленной мощностью более 100 МВт неучастие в АВРЧМ не регистрируется </w:t>
            </w:r>
            <w:r w:rsidRPr="003F3A16">
              <w:rPr>
                <w:rFonts w:ascii="Garamond" w:hAnsi="Garamond"/>
                <w:b w:val="0"/>
                <w:color w:val="000000"/>
                <w:szCs w:val="22"/>
              </w:rPr>
              <w:t xml:space="preserve">в отношении части генерирующего оборудования такой ГЭС, по которой </w:t>
            </w:r>
            <w:r w:rsidRPr="003F3A16">
              <w:rPr>
                <w:rFonts w:ascii="Garamond" w:hAnsi="Garamond"/>
                <w:b w:val="0"/>
                <w:color w:val="000000"/>
                <w:szCs w:val="22"/>
              </w:rPr>
              <w:br/>
              <w:t xml:space="preserve">в установленном порядке подтверждена возможность участия </w:t>
            </w:r>
            <w:r w:rsidRPr="003F3A16">
              <w:rPr>
                <w:rFonts w:ascii="Garamond" w:hAnsi="Garamond"/>
                <w:b w:val="0"/>
                <w:color w:val="000000"/>
                <w:szCs w:val="22"/>
              </w:rPr>
              <w:br/>
              <w:t>в АВРЧМ.</w:t>
            </w:r>
          </w:p>
        </w:tc>
      </w:tr>
    </w:tbl>
    <w:p w:rsidR="005A3F00" w:rsidRDefault="005A3F00" w:rsidP="005A3F00">
      <w:pPr>
        <w:rPr>
          <w:rFonts w:ascii="Garamond" w:hAnsi="Garamond"/>
        </w:rPr>
      </w:pPr>
    </w:p>
    <w:p w:rsidR="005A3F00" w:rsidRDefault="005A3F00" w:rsidP="005A3F00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p w:rsidR="005A3F00" w:rsidRDefault="005A3F00" w:rsidP="005A3F00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6"/>
      </w:tblGrid>
      <w:tr w:rsidR="005A3F00" w:rsidRPr="003919E9" w:rsidTr="003F3A16">
        <w:trPr>
          <w:trHeight w:val="360"/>
        </w:trPr>
        <w:tc>
          <w:tcPr>
            <w:tcW w:w="15026" w:type="dxa"/>
          </w:tcPr>
          <w:p w:rsidR="005A3F00" w:rsidRPr="003919E9" w:rsidRDefault="005A3F00" w:rsidP="008058F1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257860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Pr="00257860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8058F1">
              <w:rPr>
                <w:rFonts w:ascii="Garamond" w:hAnsi="Garamond" w:cs="Times New Roman"/>
                <w:sz w:val="24"/>
                <w:szCs w:val="24"/>
              </w:rPr>
              <w:t>у</w:t>
            </w:r>
            <w:r w:rsidRPr="00257860">
              <w:rPr>
                <w:rFonts w:ascii="Garamond" w:hAnsi="Garamond" w:cs="Times New Roman"/>
                <w:sz w:val="24"/>
                <w:szCs w:val="24"/>
              </w:rPr>
              <w:t>точняется порядок определения величины установленной мощности генерирующих объектов, учитываемой при определении максимального совокупного снижения установленной мощности генерирующих объектов</w:t>
            </w:r>
            <w:r w:rsidR="003F3A16">
              <w:rPr>
                <w:rFonts w:ascii="Garamond" w:hAnsi="Garamond" w:cs="Times New Roman"/>
                <w:sz w:val="24"/>
                <w:szCs w:val="24"/>
              </w:rPr>
              <w:t>,</w:t>
            </w:r>
            <w:r w:rsidRPr="00257860">
              <w:rPr>
                <w:rFonts w:ascii="Garamond" w:hAnsi="Garamond" w:cs="Times New Roman"/>
                <w:sz w:val="24"/>
                <w:szCs w:val="24"/>
              </w:rPr>
              <w:t xml:space="preserve"> в отношении которых могут одновременно реализовываться мероприятия по модернизации.</w:t>
            </w:r>
          </w:p>
        </w:tc>
      </w:tr>
    </w:tbl>
    <w:p w:rsidR="005A3F00" w:rsidRDefault="005A3F00" w:rsidP="005A3F00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p w:rsidR="005A3F00" w:rsidRPr="009E36AA" w:rsidRDefault="005A3F00" w:rsidP="005A3F00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9E36AA">
        <w:rPr>
          <w:rFonts w:ascii="Garamond" w:hAnsi="Garamond"/>
          <w:b/>
          <w:sz w:val="26"/>
          <w:szCs w:val="26"/>
        </w:rPr>
        <w:lastRenderedPageBreak/>
        <w:t>Предложения по изменениям и дополнениям в РЕГЛАМЕНТ ПРОВЕДЕНИЯ ОТБОРОВ ПРОЕКТОВ МОДЕРНИЗАЦИИ ГЕНЕРИРУЮЩЕГО ОБОРУДОВАНИЯ ТЕПЛОВЫХ ЭЛЕКТРОСТАНЦИЙ (Приложение № 19.3.1 к Договору о присоединении к торговой системе оптового рынка)</w:t>
      </w:r>
    </w:p>
    <w:p w:rsidR="005A3F00" w:rsidRPr="009E36AA" w:rsidRDefault="005A3F00" w:rsidP="005A3F00">
      <w:pPr>
        <w:tabs>
          <w:tab w:val="left" w:pos="709"/>
        </w:tabs>
        <w:jc w:val="both"/>
        <w:rPr>
          <w:rFonts w:ascii="Garamond" w:hAnsi="Garamond"/>
          <w:b/>
          <w:sz w:val="26"/>
          <w:szCs w:val="26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651"/>
        <w:gridCol w:w="6237"/>
      </w:tblGrid>
      <w:tr w:rsidR="005A3F00" w:rsidRPr="003F3A16" w:rsidTr="006173C8">
        <w:trPr>
          <w:trHeight w:val="435"/>
        </w:trPr>
        <w:tc>
          <w:tcPr>
            <w:tcW w:w="335" w:type="pct"/>
            <w:tcMar>
              <w:left w:w="57" w:type="dxa"/>
              <w:right w:w="57" w:type="dxa"/>
            </w:tcMar>
            <w:vAlign w:val="center"/>
          </w:tcPr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№</w:t>
            </w:r>
          </w:p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570" w:type="pct"/>
            <w:vAlign w:val="center"/>
          </w:tcPr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096" w:type="pct"/>
            <w:vAlign w:val="center"/>
          </w:tcPr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5A3F00" w:rsidRPr="003F3A16" w:rsidTr="003F3A16">
        <w:trPr>
          <w:trHeight w:val="1125"/>
        </w:trPr>
        <w:tc>
          <w:tcPr>
            <w:tcW w:w="335" w:type="pct"/>
            <w:tcMar>
              <w:left w:w="57" w:type="dxa"/>
              <w:right w:w="57" w:type="dxa"/>
            </w:tcMar>
            <w:vAlign w:val="center"/>
          </w:tcPr>
          <w:p w:rsidR="005A3F00" w:rsidRPr="003F3A16" w:rsidRDefault="005A3F00" w:rsidP="006173C8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3F3A16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4.3.2</w:t>
            </w:r>
          </w:p>
        </w:tc>
        <w:tc>
          <w:tcPr>
            <w:tcW w:w="2570" w:type="pct"/>
            <w:vAlign w:val="center"/>
          </w:tcPr>
          <w:p w:rsidR="005A3F00" w:rsidRPr="003F3A16" w:rsidRDefault="00C24670" w:rsidP="006173C8">
            <w:pPr>
              <w:pStyle w:val="a3"/>
              <w:tabs>
                <w:tab w:val="left" w:pos="993"/>
              </w:tabs>
              <w:spacing w:before="120" w:after="120"/>
              <w:ind w:left="567" w:hanging="425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</m:oMath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– установленная мощность генерирующих объектов </w:t>
            </w:r>
            <w:proofErr w:type="gramStart"/>
            <w:r w:rsidR="005A3F00"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 </w:t>
            </w:r>
            <w:r w:rsidR="005A3F00" w:rsidRPr="003F3A16">
              <w:rPr>
                <w:rFonts w:ascii="Garamond" w:hAnsi="Garamond"/>
                <w:sz w:val="22"/>
                <w:szCs w:val="22"/>
              </w:rPr>
              <w:t>функционирующих</w:t>
            </w:r>
            <w:proofErr w:type="gramEnd"/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границах </w:t>
            </w:r>
            <w:r w:rsidR="005A3F00" w:rsidRPr="003F3A16">
              <w:rPr>
                <w:rFonts w:ascii="Garamond" w:hAnsi="Garamond"/>
                <w:sz w:val="22"/>
                <w:szCs w:val="22"/>
              </w:rPr>
              <w:t xml:space="preserve">ОЭС, 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выделенных территорий энергосистем или энергорайонов </w:t>
            </w:r>
            <w:r w:rsidR="005A3F00"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r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расчетный час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Х</m:t>
                  </m:r>
                </m:sub>
              </m:sSub>
            </m:oMath>
            <w:r w:rsidR="005A3F00" w:rsidRPr="003F3A16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года </w:t>
            </w:r>
            <w:r w:rsidR="005A3F00"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, определяемая с учетом:</w:t>
            </w:r>
          </w:p>
          <w:p w:rsidR="005A3F00" w:rsidRPr="003F3A16" w:rsidRDefault="005A3F00" w:rsidP="005A3F0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вводу в эксплуатацию генерирующего оборудования, учтенных при расчете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</w:t>
            </w:r>
            <w:r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Х;</w:t>
            </w:r>
          </w:p>
          <w:p w:rsidR="005A3F00" w:rsidRPr="003F3A16" w:rsidRDefault="005A3F00" w:rsidP="005A3F0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выводу из эксплуатации генерирующего оборудования, учтенных при расчете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Х, за исключением планов по выводу из эксплуатации генерирующего оборудования</w:t>
            </w:r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:</w:t>
            </w:r>
          </w:p>
          <w:p w:rsidR="005A3F00" w:rsidRPr="003F3A16" w:rsidRDefault="005A3F00" w:rsidP="005A3F00">
            <w:pPr>
              <w:pStyle w:val="a3"/>
              <w:numPr>
                <w:ilvl w:val="2"/>
                <w:numId w:val="24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ind w:left="2442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которое учтено при расчете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как планируемое к выводу из эксплуатации при условии выполнения замещающих мероприятий (при условии, что в соответствии с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инвестиционных программах субъектов электроэнергетики отсутствуют планы по выполнению указанных мероприятий);</w:t>
            </w:r>
          </w:p>
          <w:p w:rsidR="005A3F00" w:rsidRPr="003F3A16" w:rsidRDefault="005A3F00" w:rsidP="006173C8">
            <w:pPr>
              <w:pStyle w:val="a3"/>
              <w:tabs>
                <w:tab w:val="left" w:pos="993"/>
              </w:tabs>
              <w:spacing w:before="120" w:after="120"/>
              <w:ind w:left="2442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и</w:t>
            </w:r>
          </w:p>
          <w:p w:rsidR="005A3F00" w:rsidRPr="003F3A16" w:rsidRDefault="005A3F00" w:rsidP="003F3A16">
            <w:pPr>
              <w:pStyle w:val="a3"/>
              <w:numPr>
                <w:ilvl w:val="2"/>
                <w:numId w:val="24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ind w:left="2442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proofErr w:type="gramStart"/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в отношении</w:t>
            </w:r>
            <w:proofErr w:type="gramEnd"/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 которого подано заявление о намерении поставлять мощность в вынужденном режиме в целях обеспечения надежного электроснаб</w:t>
            </w:r>
            <w:r w:rsid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жения потребителей на год </w:t>
            </w:r>
            <w:r w:rsidR="003F3A16" w:rsidRPr="003F3A16">
              <w:rPr>
                <w:rFonts w:ascii="Garamond" w:eastAsia="Batang" w:hAnsi="Garamond"/>
                <w:i/>
                <w:sz w:val="22"/>
                <w:szCs w:val="22"/>
                <w:highlight w:val="yellow"/>
                <w:lang w:eastAsia="ar-SA"/>
              </w:rPr>
              <w:t>Х</w:t>
            </w:r>
            <w:r w:rsid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 и (</w:t>
            </w:r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или</w:t>
            </w:r>
            <w:r w:rsid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)</w:t>
            </w:r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 последующие годы (которое включено в перечень заявлений, передаваемый Советом рынка в адрес СО не позднее 5 рабочих дней до даты опубликования необходимой информации для проведения отборов в соответствии с п.</w:t>
            </w:r>
            <w:r w:rsid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 </w:t>
            </w:r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4.2 настоящего Регламента).</w:t>
            </w:r>
          </w:p>
        </w:tc>
        <w:tc>
          <w:tcPr>
            <w:tcW w:w="2096" w:type="pct"/>
            <w:vAlign w:val="center"/>
          </w:tcPr>
          <w:p w:rsidR="005A3F00" w:rsidRPr="003F3A16" w:rsidRDefault="00C24670" w:rsidP="006173C8">
            <w:pPr>
              <w:pStyle w:val="a3"/>
              <w:tabs>
                <w:tab w:val="left" w:pos="993"/>
              </w:tabs>
              <w:spacing w:before="120" w:after="120"/>
              <w:ind w:left="567" w:hanging="425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</m:oMath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– установленная мощность генерирующих объектов </w:t>
            </w:r>
            <w:proofErr w:type="gramStart"/>
            <w:r w:rsidR="005A3F00"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 </w:t>
            </w:r>
            <w:r w:rsidR="005A3F00" w:rsidRPr="003F3A16">
              <w:rPr>
                <w:rFonts w:ascii="Garamond" w:hAnsi="Garamond"/>
                <w:sz w:val="22"/>
                <w:szCs w:val="22"/>
              </w:rPr>
              <w:t>функционирующих</w:t>
            </w:r>
            <w:proofErr w:type="gramEnd"/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границах </w:t>
            </w:r>
            <w:r w:rsidR="005A3F00" w:rsidRPr="003F3A16">
              <w:rPr>
                <w:rFonts w:ascii="Garamond" w:hAnsi="Garamond"/>
                <w:sz w:val="22"/>
                <w:szCs w:val="22"/>
              </w:rPr>
              <w:t xml:space="preserve">ОЭС, 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выделенных территорий энергосистем или энергорайонов </w:t>
            </w:r>
            <w:r w:rsidR="005A3F00"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r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расчетный час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Х</m:t>
                  </m:r>
                </m:sub>
              </m:sSub>
            </m:oMath>
            <w:r w:rsidR="005A3F00" w:rsidRPr="003F3A16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года </w:t>
            </w:r>
            <w:r w:rsidR="005A3F00"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="005A3F00"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, определяемая с учетом:</w:t>
            </w:r>
          </w:p>
          <w:p w:rsidR="005A3F00" w:rsidRPr="003F3A16" w:rsidRDefault="005A3F00" w:rsidP="005A3F00">
            <w:pPr>
              <w:pStyle w:val="a3"/>
              <w:numPr>
                <w:ilvl w:val="0"/>
                <w:numId w:val="25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вводу в эксплуатацию генерирующего оборудования, учтенных при расчете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</w:t>
            </w:r>
            <w:r w:rsidRPr="003F3A16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Х;</w:t>
            </w:r>
          </w:p>
          <w:p w:rsidR="005A3F00" w:rsidRPr="003F3A16" w:rsidRDefault="005A3F00" w:rsidP="005A3F00">
            <w:pPr>
              <w:pStyle w:val="a3"/>
              <w:numPr>
                <w:ilvl w:val="0"/>
                <w:numId w:val="25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выводу из эксплуатации генерирующего оборудования, учтенных при расчете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Х, за исключением планов по выводу из эксплуатации генерирующего оборудования</w:t>
            </w:r>
            <w:r w:rsidRPr="003F3A16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,</w:t>
            </w:r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которое учтено при расчете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как планируемое к выводу из эксплуатации при условии выполнения замещающих мероприятий (при условии, что в соответствии с </w:t>
            </w:r>
            <w:proofErr w:type="spellStart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3F3A16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инвестиционных программах субъектов электроэнергетики отсутствуют планы по выполнению указанных мероприятий).</w:t>
            </w:r>
          </w:p>
        </w:tc>
      </w:tr>
    </w:tbl>
    <w:p w:rsidR="005A3F00" w:rsidRPr="003919E9" w:rsidRDefault="005A3F00" w:rsidP="005A3F00">
      <w:pPr>
        <w:rPr>
          <w:rFonts w:ascii="Garamond" w:hAnsi="Garamond"/>
        </w:rPr>
      </w:pPr>
    </w:p>
    <w:p w:rsidR="005A3F00" w:rsidRDefault="005A3F00" w:rsidP="00BD2BA6">
      <w:pPr>
        <w:ind w:right="102"/>
        <w:rPr>
          <w:rFonts w:ascii="Garamond" w:hAnsi="Garamond"/>
          <w:sz w:val="22"/>
          <w:szCs w:val="22"/>
        </w:rPr>
      </w:pPr>
    </w:p>
    <w:sectPr w:rsidR="005A3F00" w:rsidSect="001C685E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096A74A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FB"/>
    <w:multiLevelType w:val="multilevel"/>
    <w:tmpl w:val="E104049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3">
      <w:start w:val="1"/>
      <w:numFmt w:val="decimal"/>
      <w:lvlText w:val="4.2.%4"/>
      <w:lvlJc w:val="left"/>
      <w:pPr>
        <w:tabs>
          <w:tab w:val="num" w:pos="426"/>
        </w:tabs>
        <w:ind w:left="426" w:firstLine="0"/>
      </w:pPr>
      <w:rPr>
        <w:rFonts w:hint="default"/>
        <w:i w:val="0"/>
      </w:rPr>
    </w:lvl>
    <w:lvl w:ilvl="4">
      <w:start w:val="1"/>
      <w:numFmt w:val="decimal"/>
      <w:pStyle w:val="5"/>
      <w:lvlText w:val="%5)"/>
      <w:lvlJc w:val="left"/>
      <w:pPr>
        <w:tabs>
          <w:tab w:val="num" w:pos="1844"/>
        </w:tabs>
        <w:ind w:left="1844" w:firstLine="0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FB0220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A517544"/>
    <w:multiLevelType w:val="hybridMultilevel"/>
    <w:tmpl w:val="69EE27B2"/>
    <w:lvl w:ilvl="0" w:tplc="FFFFFFFF">
      <w:start w:val="1"/>
      <w:numFmt w:val="decimal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686C7EEC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 w15:restartNumberingAfterBreak="0">
    <w:nsid w:val="0B533010"/>
    <w:multiLevelType w:val="hybridMultilevel"/>
    <w:tmpl w:val="25582C18"/>
    <w:lvl w:ilvl="0" w:tplc="186AF75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DD56A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A4A0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4042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A23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8EB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EAB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C12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5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A4897"/>
    <w:multiLevelType w:val="hybridMultilevel"/>
    <w:tmpl w:val="25582C18"/>
    <w:lvl w:ilvl="0" w:tplc="186AF75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DD56A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A4A0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4042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A23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8EB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EAB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C12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5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715DCE"/>
    <w:multiLevelType w:val="hybridMultilevel"/>
    <w:tmpl w:val="AA7A79DA"/>
    <w:lvl w:ilvl="0" w:tplc="1D4A006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6080A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541F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563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69B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43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6E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656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22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E20484"/>
    <w:multiLevelType w:val="multilevel"/>
    <w:tmpl w:val="53AEB488"/>
    <w:lvl w:ilvl="0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13450B"/>
    <w:multiLevelType w:val="multilevel"/>
    <w:tmpl w:val="76925796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3C9647B"/>
    <w:multiLevelType w:val="hybridMultilevel"/>
    <w:tmpl w:val="10F27FF4"/>
    <w:lvl w:ilvl="0" w:tplc="EAF20692">
      <w:start w:val="1"/>
      <w:numFmt w:val="russianLower"/>
      <w:lvlText w:val="%1)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0" w15:restartNumberingAfterBreak="0">
    <w:nsid w:val="394D0C47"/>
    <w:multiLevelType w:val="multilevel"/>
    <w:tmpl w:val="FB0220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3D26133E"/>
    <w:multiLevelType w:val="hybridMultilevel"/>
    <w:tmpl w:val="0C16F910"/>
    <w:lvl w:ilvl="0" w:tplc="EAF20692">
      <w:start w:val="1"/>
      <w:numFmt w:val="russianLower"/>
      <w:lvlText w:val="%1)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DCB6EB22">
      <w:start w:val="1"/>
      <w:numFmt w:val="bullet"/>
      <w:lvlText w:val=""/>
      <w:lvlJc w:val="left"/>
      <w:pPr>
        <w:ind w:left="2307" w:hanging="180"/>
      </w:pPr>
      <w:rPr>
        <w:rFonts w:ascii="Symbol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2" w15:restartNumberingAfterBreak="0">
    <w:nsid w:val="44E71164"/>
    <w:multiLevelType w:val="hybridMultilevel"/>
    <w:tmpl w:val="A35C9CDC"/>
    <w:lvl w:ilvl="0" w:tplc="3DB01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97076"/>
    <w:multiLevelType w:val="hybridMultilevel"/>
    <w:tmpl w:val="81869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32789C"/>
    <w:multiLevelType w:val="hybridMultilevel"/>
    <w:tmpl w:val="AA7A79DA"/>
    <w:lvl w:ilvl="0" w:tplc="1D4A006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6080A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541F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563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69B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43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6E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656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22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4504E9"/>
    <w:multiLevelType w:val="hybridMultilevel"/>
    <w:tmpl w:val="FB9E74FC"/>
    <w:lvl w:ilvl="0" w:tplc="838CF216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5A1350"/>
    <w:multiLevelType w:val="hybridMultilevel"/>
    <w:tmpl w:val="14C2BCE2"/>
    <w:lvl w:ilvl="0" w:tplc="DCB6EB22">
      <w:start w:val="1"/>
      <w:numFmt w:val="bullet"/>
      <w:lvlText w:val=""/>
      <w:lvlJc w:val="left"/>
      <w:pPr>
        <w:tabs>
          <w:tab w:val="num" w:pos="1324"/>
        </w:tabs>
        <w:ind w:left="1324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45E47"/>
    <w:multiLevelType w:val="hybridMultilevel"/>
    <w:tmpl w:val="2730B412"/>
    <w:lvl w:ilvl="0" w:tplc="E78A538E">
      <w:start w:val="1"/>
      <w:numFmt w:val="bullet"/>
      <w:lvlText w:val=""/>
      <w:lvlJc w:val="left"/>
      <w:pPr>
        <w:tabs>
          <w:tab w:val="num" w:pos="2274"/>
        </w:tabs>
        <w:ind w:left="2274" w:hanging="360"/>
      </w:pPr>
      <w:rPr>
        <w:rFonts w:ascii="Symbol" w:hAnsi="Symbol" w:hint="default"/>
        <w:b/>
        <w:i/>
        <w:sz w:val="28"/>
      </w:rPr>
    </w:lvl>
    <w:lvl w:ilvl="1" w:tplc="04190019" w:tentative="1">
      <w:start w:val="1"/>
      <w:numFmt w:val="bullet"/>
      <w:lvlText w:val="o"/>
      <w:lvlJc w:val="left"/>
      <w:pPr>
        <w:tabs>
          <w:tab w:val="num" w:pos="1914"/>
        </w:tabs>
        <w:ind w:left="191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34"/>
        </w:tabs>
        <w:ind w:left="263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54"/>
        </w:tabs>
        <w:ind w:left="3354" w:hanging="360"/>
      </w:pPr>
      <w:rPr>
        <w:rFonts w:ascii="Symbol" w:hAnsi="Symbol" w:hint="default"/>
      </w:rPr>
    </w:lvl>
    <w:lvl w:ilvl="4" w:tplc="04190019">
      <w:start w:val="1"/>
      <w:numFmt w:val="bullet"/>
      <w:lvlText w:val=""/>
      <w:lvlJc w:val="left"/>
      <w:pPr>
        <w:tabs>
          <w:tab w:val="num" w:pos="4074"/>
        </w:tabs>
        <w:ind w:left="4074" w:hanging="360"/>
      </w:pPr>
      <w:rPr>
        <w:rFonts w:ascii="Symbol" w:hAnsi="Symbol" w:hint="default"/>
        <w:b/>
        <w:i/>
        <w:sz w:val="28"/>
      </w:rPr>
    </w:lvl>
    <w:lvl w:ilvl="5" w:tplc="0419001B" w:tentative="1">
      <w:start w:val="1"/>
      <w:numFmt w:val="bullet"/>
      <w:lvlText w:val=""/>
      <w:lvlJc w:val="left"/>
      <w:pPr>
        <w:tabs>
          <w:tab w:val="num" w:pos="4794"/>
        </w:tabs>
        <w:ind w:left="479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14"/>
        </w:tabs>
        <w:ind w:left="551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34"/>
        </w:tabs>
        <w:ind w:left="623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54"/>
        </w:tabs>
        <w:ind w:left="69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  <w:num w:numId="12">
    <w:abstractNumId w:val="1"/>
  </w:num>
  <w:num w:numId="13">
    <w:abstractNumId w:val="1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"/>
  </w:num>
  <w:num w:numId="20">
    <w:abstractNumId w:val="13"/>
  </w:num>
  <w:num w:numId="21">
    <w:abstractNumId w:val="8"/>
  </w:num>
  <w:num w:numId="22">
    <w:abstractNumId w:val="15"/>
  </w:num>
  <w:num w:numId="23">
    <w:abstractNumId w:val="12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E6"/>
    <w:rsid w:val="0000686B"/>
    <w:rsid w:val="0001673F"/>
    <w:rsid w:val="00016EA7"/>
    <w:rsid w:val="00020CCF"/>
    <w:rsid w:val="000C3AEE"/>
    <w:rsid w:val="000F25E9"/>
    <w:rsid w:val="00144B3C"/>
    <w:rsid w:val="001816B3"/>
    <w:rsid w:val="00181726"/>
    <w:rsid w:val="001F294F"/>
    <w:rsid w:val="002168B2"/>
    <w:rsid w:val="00260ED5"/>
    <w:rsid w:val="0027034D"/>
    <w:rsid w:val="00283A55"/>
    <w:rsid w:val="002A41E6"/>
    <w:rsid w:val="002C7E62"/>
    <w:rsid w:val="002D2F14"/>
    <w:rsid w:val="003123F3"/>
    <w:rsid w:val="00320639"/>
    <w:rsid w:val="003213B2"/>
    <w:rsid w:val="003910E2"/>
    <w:rsid w:val="003A5729"/>
    <w:rsid w:val="003B4672"/>
    <w:rsid w:val="003C6A99"/>
    <w:rsid w:val="003D6020"/>
    <w:rsid w:val="003D63A3"/>
    <w:rsid w:val="003E7456"/>
    <w:rsid w:val="003F3A16"/>
    <w:rsid w:val="00436680"/>
    <w:rsid w:val="00455418"/>
    <w:rsid w:val="0046660F"/>
    <w:rsid w:val="004753D4"/>
    <w:rsid w:val="004B5E00"/>
    <w:rsid w:val="004C5DB1"/>
    <w:rsid w:val="00512444"/>
    <w:rsid w:val="0051301D"/>
    <w:rsid w:val="005150BD"/>
    <w:rsid w:val="00537B1C"/>
    <w:rsid w:val="005601A2"/>
    <w:rsid w:val="005936B0"/>
    <w:rsid w:val="005A138E"/>
    <w:rsid w:val="005A3F00"/>
    <w:rsid w:val="005B3372"/>
    <w:rsid w:val="005D221C"/>
    <w:rsid w:val="005F1D56"/>
    <w:rsid w:val="00603EBB"/>
    <w:rsid w:val="006A4F11"/>
    <w:rsid w:val="00707AB8"/>
    <w:rsid w:val="007141F4"/>
    <w:rsid w:val="007462E1"/>
    <w:rsid w:val="007B434F"/>
    <w:rsid w:val="007B4B3B"/>
    <w:rsid w:val="007D1880"/>
    <w:rsid w:val="007E7114"/>
    <w:rsid w:val="008058F1"/>
    <w:rsid w:val="00812A2A"/>
    <w:rsid w:val="00817A5F"/>
    <w:rsid w:val="008473FE"/>
    <w:rsid w:val="00853A5E"/>
    <w:rsid w:val="00854DD0"/>
    <w:rsid w:val="008818C3"/>
    <w:rsid w:val="00891A47"/>
    <w:rsid w:val="008A320A"/>
    <w:rsid w:val="008A6C83"/>
    <w:rsid w:val="008C6990"/>
    <w:rsid w:val="008F2547"/>
    <w:rsid w:val="009137D3"/>
    <w:rsid w:val="0093434A"/>
    <w:rsid w:val="0098047F"/>
    <w:rsid w:val="009B2440"/>
    <w:rsid w:val="009C53C3"/>
    <w:rsid w:val="009D4217"/>
    <w:rsid w:val="009E5071"/>
    <w:rsid w:val="009F5FDE"/>
    <w:rsid w:val="00A17630"/>
    <w:rsid w:val="00A21011"/>
    <w:rsid w:val="00A41D0E"/>
    <w:rsid w:val="00A7253C"/>
    <w:rsid w:val="00A7484C"/>
    <w:rsid w:val="00AA7E88"/>
    <w:rsid w:val="00AB5850"/>
    <w:rsid w:val="00AC6C42"/>
    <w:rsid w:val="00AD6BAC"/>
    <w:rsid w:val="00B01F22"/>
    <w:rsid w:val="00B75AD9"/>
    <w:rsid w:val="00BB2D26"/>
    <w:rsid w:val="00BD09D9"/>
    <w:rsid w:val="00BD2BA6"/>
    <w:rsid w:val="00BD38C3"/>
    <w:rsid w:val="00C05AA5"/>
    <w:rsid w:val="00C106DA"/>
    <w:rsid w:val="00C21B5E"/>
    <w:rsid w:val="00C24670"/>
    <w:rsid w:val="00C258A2"/>
    <w:rsid w:val="00C264AE"/>
    <w:rsid w:val="00C30411"/>
    <w:rsid w:val="00C355A2"/>
    <w:rsid w:val="00C53FC5"/>
    <w:rsid w:val="00C6321D"/>
    <w:rsid w:val="00C7371A"/>
    <w:rsid w:val="00C94BED"/>
    <w:rsid w:val="00C95AD3"/>
    <w:rsid w:val="00C97697"/>
    <w:rsid w:val="00C97B0B"/>
    <w:rsid w:val="00CB2073"/>
    <w:rsid w:val="00CB3CA4"/>
    <w:rsid w:val="00CD0A74"/>
    <w:rsid w:val="00CF6CF4"/>
    <w:rsid w:val="00D122EE"/>
    <w:rsid w:val="00D55DBA"/>
    <w:rsid w:val="00D721AD"/>
    <w:rsid w:val="00D9001B"/>
    <w:rsid w:val="00DA79A1"/>
    <w:rsid w:val="00DB1EA6"/>
    <w:rsid w:val="00DC1688"/>
    <w:rsid w:val="00E455E8"/>
    <w:rsid w:val="00E718FC"/>
    <w:rsid w:val="00E81EC3"/>
    <w:rsid w:val="00EB6ED9"/>
    <w:rsid w:val="00EE08BF"/>
    <w:rsid w:val="00F062C6"/>
    <w:rsid w:val="00F34307"/>
    <w:rsid w:val="00F40D61"/>
    <w:rsid w:val="00F53F09"/>
    <w:rsid w:val="00F63AEE"/>
    <w:rsid w:val="00F70112"/>
    <w:rsid w:val="00F75488"/>
    <w:rsid w:val="00F97B90"/>
    <w:rsid w:val="00FB102E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6F0126-80D4-4F43-A505-8AE50406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1E6"/>
    <w:rPr>
      <w:rFonts w:eastAsia="Calibri"/>
      <w:sz w:val="24"/>
      <w:szCs w:val="24"/>
    </w:rPr>
  </w:style>
  <w:style w:type="paragraph" w:styleId="1">
    <w:name w:val="heading 1"/>
    <w:aliases w:val="Заголовок параграфа (1.),Section,Section Heading,level2 hdg"/>
    <w:basedOn w:val="a"/>
    <w:next w:val="2"/>
    <w:link w:val="10"/>
    <w:qFormat/>
    <w:rsid w:val="00EE08BF"/>
    <w:pPr>
      <w:keepNext/>
      <w:pageBreakBefore/>
      <w:numPr>
        <w:numId w:val="3"/>
      </w:numPr>
      <w:spacing w:before="240" w:after="240"/>
      <w:outlineLvl w:val="0"/>
    </w:pPr>
    <w:rPr>
      <w:rFonts w:eastAsia="Times New Roman"/>
      <w:b/>
      <w:kern w:val="28"/>
      <w:sz w:val="28"/>
      <w:szCs w:val="20"/>
      <w:lang w:val="en-GB" w:eastAsia="en-US"/>
    </w:rPr>
  </w:style>
  <w:style w:type="paragraph" w:styleId="2">
    <w:name w:val="heading 2"/>
    <w:aliases w:val="h2,h21,Reset numbering,Заголовок пункта (1.1),5"/>
    <w:basedOn w:val="a"/>
    <w:next w:val="3"/>
    <w:link w:val="20"/>
    <w:qFormat/>
    <w:rsid w:val="00EE08BF"/>
    <w:pPr>
      <w:keepNext/>
      <w:numPr>
        <w:ilvl w:val="1"/>
        <w:numId w:val="3"/>
      </w:numPr>
      <w:spacing w:before="180" w:after="180"/>
      <w:jc w:val="both"/>
      <w:outlineLvl w:val="1"/>
    </w:pPr>
    <w:rPr>
      <w:rFonts w:eastAsia="Times New Roman"/>
      <w:b/>
      <w:szCs w:val="20"/>
      <w:lang w:val="en-GB" w:eastAsia="en-US"/>
    </w:rPr>
  </w:style>
  <w:style w:type="paragraph" w:styleId="3">
    <w:name w:val="heading 3"/>
    <w:aliases w:val="Level 1 - 1,Заголовок подпукта (1.1.1),H3"/>
    <w:basedOn w:val="a"/>
    <w:link w:val="30"/>
    <w:qFormat/>
    <w:rsid w:val="00EE08BF"/>
    <w:pPr>
      <w:numPr>
        <w:ilvl w:val="2"/>
        <w:numId w:val="3"/>
      </w:numPr>
      <w:spacing w:before="120" w:after="120"/>
      <w:jc w:val="both"/>
      <w:outlineLvl w:val="2"/>
    </w:pPr>
    <w:rPr>
      <w:rFonts w:eastAsia="Times New Roman"/>
      <w:b/>
      <w:sz w:val="22"/>
      <w:szCs w:val="20"/>
      <w:lang w:eastAsia="en-US"/>
    </w:rPr>
  </w:style>
  <w:style w:type="paragraph" w:styleId="40">
    <w:name w:val="heading 4"/>
    <w:aliases w:val="Sub-Minor,Level 2 - a,H4,H41"/>
    <w:basedOn w:val="a"/>
    <w:link w:val="41"/>
    <w:qFormat/>
    <w:rsid w:val="00EE08BF"/>
    <w:pPr>
      <w:spacing w:before="120" w:after="120"/>
      <w:jc w:val="both"/>
      <w:outlineLvl w:val="3"/>
    </w:pPr>
    <w:rPr>
      <w:rFonts w:eastAsia="Times New Roman"/>
      <w:sz w:val="22"/>
      <w:szCs w:val="20"/>
      <w:lang w:eastAsia="en-US"/>
    </w:rPr>
  </w:style>
  <w:style w:type="paragraph" w:styleId="5">
    <w:name w:val="heading 5"/>
    <w:aliases w:val="h5,h51,test,Block Label,Level 3 - i,H5,H51,h52"/>
    <w:basedOn w:val="a"/>
    <w:link w:val="50"/>
    <w:qFormat/>
    <w:rsid w:val="00EE08BF"/>
    <w:pPr>
      <w:numPr>
        <w:ilvl w:val="4"/>
        <w:numId w:val="3"/>
      </w:numPr>
      <w:spacing w:before="120" w:after="120"/>
      <w:jc w:val="both"/>
      <w:outlineLvl w:val="4"/>
    </w:pPr>
    <w:rPr>
      <w:rFonts w:eastAsia="Times New Roman"/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EE08BF"/>
    <w:pPr>
      <w:numPr>
        <w:ilvl w:val="5"/>
        <w:numId w:val="3"/>
      </w:numPr>
      <w:spacing w:before="120" w:after="120"/>
      <w:jc w:val="both"/>
      <w:outlineLvl w:val="5"/>
    </w:pPr>
    <w:rPr>
      <w:rFonts w:eastAsia="Times New Roman"/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E08BF"/>
    <w:pPr>
      <w:numPr>
        <w:ilvl w:val="6"/>
        <w:numId w:val="3"/>
      </w:numPr>
      <w:spacing w:before="180" w:after="240"/>
      <w:outlineLvl w:val="6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EE08BF"/>
    <w:pPr>
      <w:numPr>
        <w:ilvl w:val="7"/>
        <w:numId w:val="3"/>
      </w:numPr>
      <w:spacing w:before="240" w:after="60"/>
      <w:outlineLvl w:val="7"/>
    </w:pPr>
    <w:rPr>
      <w:rFonts w:ascii="Arial" w:eastAsia="Times New Roman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EE08BF"/>
    <w:pPr>
      <w:numPr>
        <w:ilvl w:val="8"/>
        <w:numId w:val="3"/>
      </w:numPr>
      <w:spacing w:before="240" w:after="60"/>
      <w:outlineLvl w:val="8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Bold">
    <w:name w:val="Body text + Bold"/>
    <w:rsid w:val="002A41E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Абзац списка1"/>
    <w:basedOn w:val="a"/>
    <w:rsid w:val="002A41E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"/>
    <w:link w:val="1"/>
    <w:rsid w:val="00EE08BF"/>
    <w:rPr>
      <w:b/>
      <w:kern w:val="28"/>
      <w:sz w:val="28"/>
      <w:lang w:val="en-GB" w:eastAsia="en-US"/>
    </w:rPr>
  </w:style>
  <w:style w:type="character" w:customStyle="1" w:styleId="20">
    <w:name w:val="Заголовок 2 Знак"/>
    <w:aliases w:val="h2 Знак,h21 Знак,Reset numbering Знак,Заголовок пункта (1.1) Знак,5 Знак"/>
    <w:link w:val="2"/>
    <w:rsid w:val="00EE08BF"/>
    <w:rPr>
      <w:b/>
      <w:sz w:val="24"/>
      <w:lang w:val="en-GB" w:eastAsia="en-US"/>
    </w:rPr>
  </w:style>
  <w:style w:type="character" w:customStyle="1" w:styleId="30">
    <w:name w:val="Заголовок 3 Знак"/>
    <w:aliases w:val="Level 1 - 1 Знак,Заголовок подпукта (1.1.1) Знак,H3 Знак"/>
    <w:link w:val="3"/>
    <w:rsid w:val="00EE08BF"/>
    <w:rPr>
      <w:b/>
      <w:sz w:val="22"/>
      <w:lang w:eastAsia="en-US"/>
    </w:rPr>
  </w:style>
  <w:style w:type="character" w:customStyle="1" w:styleId="41">
    <w:name w:val="Заголовок 4 Знак"/>
    <w:aliases w:val="Sub-Minor Знак,Level 2 - a Знак,H4 Знак,H41 Знак"/>
    <w:link w:val="40"/>
    <w:rsid w:val="00EE08BF"/>
    <w:rPr>
      <w:sz w:val="22"/>
      <w:lang w:eastAsia="en-US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link w:val="5"/>
    <w:rsid w:val="00EE08BF"/>
    <w:rPr>
      <w:sz w:val="22"/>
      <w:lang w:eastAsia="en-US"/>
    </w:rPr>
  </w:style>
  <w:style w:type="character" w:customStyle="1" w:styleId="60">
    <w:name w:val="Заголовок 6 Знак"/>
    <w:aliases w:val="Legal Level 1. Знак"/>
    <w:link w:val="6"/>
    <w:rsid w:val="00EE08BF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link w:val="7"/>
    <w:rsid w:val="00EE08BF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link w:val="8"/>
    <w:rsid w:val="00EE08BF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link w:val="9"/>
    <w:rsid w:val="00EE08BF"/>
    <w:rPr>
      <w:rFonts w:ascii="Arial" w:hAnsi="Arial"/>
      <w:i/>
      <w:sz w:val="18"/>
      <w:lang w:val="en-GB" w:eastAsia="en-US"/>
    </w:rPr>
  </w:style>
  <w:style w:type="paragraph" w:styleId="4">
    <w:name w:val="List Number 4"/>
    <w:basedOn w:val="a"/>
    <w:rsid w:val="007141F4"/>
    <w:pPr>
      <w:numPr>
        <w:numId w:val="5"/>
      </w:numPr>
      <w:spacing w:before="180" w:after="60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a3">
    <w:name w:val="List Paragraph"/>
    <w:basedOn w:val="a"/>
    <w:uiPriority w:val="99"/>
    <w:qFormat/>
    <w:rsid w:val="00F70112"/>
    <w:pPr>
      <w:ind w:left="708"/>
    </w:pPr>
  </w:style>
  <w:style w:type="paragraph" w:styleId="a4">
    <w:name w:val="Balloon Text"/>
    <w:basedOn w:val="a"/>
    <w:link w:val="a5"/>
    <w:rsid w:val="00C355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355A2"/>
    <w:rPr>
      <w:rFonts w:ascii="Segoe UI" w:eastAsia="Calibri" w:hAnsi="Segoe UI" w:cs="Segoe UI"/>
      <w:sz w:val="18"/>
      <w:szCs w:val="18"/>
    </w:rPr>
  </w:style>
  <w:style w:type="paragraph" w:styleId="21">
    <w:name w:val="List Number 2"/>
    <w:basedOn w:val="a"/>
    <w:rsid w:val="00F97B90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eastAsia="Times New Roman" w:hAnsi="Garamond"/>
      <w:sz w:val="22"/>
      <w:szCs w:val="20"/>
      <w:lang w:eastAsia="en-US"/>
    </w:rPr>
  </w:style>
  <w:style w:type="paragraph" w:customStyle="1" w:styleId="ConsPlusNormal">
    <w:name w:val="ConsPlusNormal"/>
    <w:rsid w:val="005A3F0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AED21-7C0A-48EA-907B-13E34A21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Ассоциации «НП Совет рынка»</vt:lpstr>
    </vt:vector>
  </TitlesOfParts>
  <Company>rosinter</Company>
  <LinksUpToDate>false</LinksUpToDate>
  <CharactersWithSpaces>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Ассоциации «НП Совет рынка»</dc:title>
  <dc:creator>pii</dc:creator>
  <cp:lastModifiedBy>Шупилова Евгения Александровна</cp:lastModifiedBy>
  <cp:revision>8</cp:revision>
  <cp:lastPrinted>2017-07-21T10:36:00Z</cp:lastPrinted>
  <dcterms:created xsi:type="dcterms:W3CDTF">2019-02-27T13:02:00Z</dcterms:created>
  <dcterms:modified xsi:type="dcterms:W3CDTF">2019-03-05T14:35:00Z</dcterms:modified>
</cp:coreProperties>
</file>