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7B98A" w14:textId="77777777" w:rsidR="00DC4326" w:rsidRDefault="00253E25" w:rsidP="00DC4326">
      <w:pPr>
        <w:ind w:left="-284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253E25">
        <w:rPr>
          <w:rFonts w:ascii="Garamond" w:hAnsi="Garamond"/>
          <w:b/>
          <w:sz w:val="28"/>
          <w:szCs w:val="28"/>
        </w:rPr>
        <w:t xml:space="preserve">.3. </w:t>
      </w:r>
      <w:r w:rsidR="00DC4326" w:rsidRPr="00BB621C">
        <w:rPr>
          <w:rFonts w:ascii="Garamond" w:hAnsi="Garamond"/>
          <w:b/>
          <w:sz w:val="28"/>
          <w:szCs w:val="28"/>
        </w:rPr>
        <w:t xml:space="preserve">Изменения, связанные </w:t>
      </w:r>
      <w:r w:rsidR="00DC4326">
        <w:rPr>
          <w:rFonts w:ascii="Garamond" w:hAnsi="Garamond"/>
          <w:b/>
          <w:sz w:val="28"/>
          <w:szCs w:val="28"/>
        </w:rPr>
        <w:t>с аттестацией объектов ДПМ ТБО</w:t>
      </w:r>
    </w:p>
    <w:p w14:paraId="6645C031" w14:textId="53009F7C" w:rsidR="00DC4326" w:rsidRPr="00253E25" w:rsidRDefault="00DC4326" w:rsidP="00DC4326">
      <w:pPr>
        <w:ind w:right="111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>
        <w:rPr>
          <w:rFonts w:ascii="Garamond" w:hAnsi="Garamond"/>
          <w:b/>
          <w:sz w:val="28"/>
          <w:szCs w:val="28"/>
          <w:lang w:val="en-US"/>
        </w:rPr>
        <w:t xml:space="preserve"> </w:t>
      </w:r>
      <w:r w:rsidR="00253E25">
        <w:rPr>
          <w:rFonts w:ascii="Garamond" w:hAnsi="Garamond"/>
          <w:b/>
          <w:sz w:val="28"/>
          <w:szCs w:val="28"/>
          <w:lang w:val="en-US"/>
        </w:rPr>
        <w:t>8.3</w:t>
      </w:r>
    </w:p>
    <w:p w14:paraId="1CEB0892" w14:textId="77777777" w:rsidR="00DC4326" w:rsidRPr="00F9590E" w:rsidRDefault="00DC4326" w:rsidP="00DC4326">
      <w:pPr>
        <w:jc w:val="right"/>
        <w:rPr>
          <w:rFonts w:ascii="Garamond" w:hAnsi="Garamond" w:cs="Tahoma"/>
          <w:b/>
        </w:rPr>
      </w:pPr>
    </w:p>
    <w:tbl>
      <w:tblPr>
        <w:tblW w:w="15310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5310"/>
      </w:tblGrid>
      <w:tr w:rsidR="00DC4326" w:rsidRPr="00F9590E" w14:paraId="1620E060" w14:textId="77777777" w:rsidTr="00A03BB1">
        <w:trPr>
          <w:trHeight w:val="350"/>
        </w:trPr>
        <w:tc>
          <w:tcPr>
            <w:tcW w:w="1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8AAC" w14:textId="77777777" w:rsidR="00DC4326" w:rsidRPr="004970AB" w:rsidRDefault="00DC4326" w:rsidP="00A03BB1">
            <w:pPr>
              <w:widowControl w:val="0"/>
              <w:snapToGrid w:val="0"/>
              <w:rPr>
                <w:rFonts w:ascii="Garamond" w:hAnsi="Garamond"/>
              </w:rPr>
            </w:pPr>
            <w:r w:rsidRPr="00F9590E">
              <w:rPr>
                <w:rFonts w:ascii="Garamond" w:hAnsi="Garamond"/>
                <w:b/>
              </w:rPr>
              <w:t>И</w:t>
            </w:r>
            <w:r w:rsidRPr="004970AB">
              <w:rPr>
                <w:rFonts w:ascii="Garamond" w:hAnsi="Garamond"/>
                <w:b/>
              </w:rPr>
              <w:t xml:space="preserve">нициатор: </w:t>
            </w:r>
            <w:r w:rsidRPr="004970AB">
              <w:rPr>
                <w:rFonts w:ascii="Garamond" w:hAnsi="Garamond"/>
              </w:rPr>
              <w:t>Ассоциация «НП Совет рынка».</w:t>
            </w:r>
          </w:p>
          <w:p w14:paraId="4C38ED2F" w14:textId="52973464" w:rsidR="00DC4326" w:rsidRPr="00F9590E" w:rsidRDefault="00DC4326" w:rsidP="00A03BB1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4970AB">
              <w:rPr>
                <w:rFonts w:ascii="Garamond" w:hAnsi="Garamond"/>
                <w:b/>
              </w:rPr>
              <w:t>Обоснование:</w:t>
            </w:r>
            <w:r>
              <w:rPr>
                <w:rFonts w:ascii="Garamond" w:hAnsi="Garamond"/>
                <w:b/>
              </w:rPr>
              <w:t xml:space="preserve"> </w:t>
            </w:r>
            <w:r w:rsidR="000F6C30">
              <w:rPr>
                <w:rFonts w:ascii="Garamond" w:hAnsi="Garamond"/>
              </w:rPr>
              <w:t>в</w:t>
            </w:r>
            <w:r>
              <w:rPr>
                <w:rFonts w:ascii="Garamond" w:hAnsi="Garamond"/>
              </w:rPr>
              <w:t xml:space="preserve"> настоящее время для генерирующих объектов, в отношении которых заключены ДПМ ВИЭ, предусмотрена проверка выполнения ряда условий при аттестации генерирующего оборудования: подтверждение квалификации генерирующего объекта ВИЭ, соответствие фактического местоположения и вида генерирующего объекта местоположению и виду, указанным в договоре, ввод в эксплуатацию генерирующего оборудования суммарной установленной мощностью не менее 80</w:t>
            </w:r>
            <w:r w:rsidR="000F6C30">
              <w:rPr>
                <w:rFonts w:ascii="Garamond" w:hAnsi="Garamond"/>
              </w:rPr>
              <w:t> </w:t>
            </w:r>
            <w:r>
              <w:rPr>
                <w:rFonts w:ascii="Garamond" w:hAnsi="Garamond"/>
              </w:rPr>
              <w:t>% установленной мощности,</w:t>
            </w:r>
            <w:r w:rsidR="00C70240">
              <w:rPr>
                <w:rFonts w:ascii="Garamond" w:hAnsi="Garamond"/>
              </w:rPr>
              <w:t xml:space="preserve"> указанной в договоре. При этом</w:t>
            </w:r>
            <w:r>
              <w:rPr>
                <w:rFonts w:ascii="Garamond" w:hAnsi="Garamond"/>
              </w:rPr>
              <w:t xml:space="preserve"> действующая редакция </w:t>
            </w:r>
            <w:r w:rsidRPr="004970AB">
              <w:rPr>
                <w:rFonts w:ascii="Garamond" w:hAnsi="Garamond"/>
              </w:rPr>
              <w:t>Регламент</w:t>
            </w:r>
            <w:r>
              <w:rPr>
                <w:rFonts w:ascii="Garamond" w:hAnsi="Garamond"/>
              </w:rPr>
              <w:t>а</w:t>
            </w:r>
            <w:r w:rsidRPr="004970AB">
              <w:rPr>
                <w:rFonts w:ascii="Garamond" w:hAnsi="Garamond"/>
              </w:rPr>
              <w:t xml:space="preserve"> аттестации генериру</w:t>
            </w:r>
            <w:bookmarkStart w:id="0" w:name="_GoBack"/>
            <w:bookmarkEnd w:id="0"/>
            <w:r w:rsidRPr="004970AB">
              <w:rPr>
                <w:rFonts w:ascii="Garamond" w:hAnsi="Garamond"/>
              </w:rPr>
              <w:t>ющего оборудования (Приложение № 19.2 к Договору о присоединении к торговой системе оптового рынка)</w:t>
            </w:r>
            <w:r>
              <w:rPr>
                <w:rFonts w:ascii="Garamond" w:hAnsi="Garamond"/>
              </w:rPr>
              <w:t xml:space="preserve"> не предусматривает </w:t>
            </w:r>
            <w:r w:rsidR="00C70240">
              <w:rPr>
                <w:rFonts w:ascii="Garamond" w:hAnsi="Garamond"/>
              </w:rPr>
              <w:t xml:space="preserve">проверку указанных условий для </w:t>
            </w:r>
            <w:r w:rsidRPr="004D384B">
              <w:rPr>
                <w:rFonts w:ascii="Garamond" w:hAnsi="Garamond"/>
              </w:rPr>
              <w:t>генерирующих объектов, в отношении которых заключены договоры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</w:t>
            </w:r>
            <w:r>
              <w:rPr>
                <w:rFonts w:ascii="Garamond" w:hAnsi="Garamond"/>
              </w:rPr>
              <w:t>рья и топлива (далее – ДПМ ТБО). Необходимо внести уточняющие изменения в регламент, устанавливающие аналогичную проверку выполнения указанных условий при аттестации генерирующих объектов, в отношении которых заключены ДПМ ТБО.</w:t>
            </w:r>
          </w:p>
          <w:p w14:paraId="3EEFF1ED" w14:textId="77777777" w:rsidR="00DC4326" w:rsidRPr="00F9590E" w:rsidRDefault="00DC4326" w:rsidP="00A03BB1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9590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9590E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1 июля 2024 года.</w:t>
            </w:r>
          </w:p>
        </w:tc>
      </w:tr>
    </w:tbl>
    <w:p w14:paraId="3F67E0BA" w14:textId="77777777" w:rsidR="00DC4326" w:rsidRDefault="00DC4326" w:rsidP="00DC4326">
      <w:pPr>
        <w:ind w:left="-284"/>
        <w:rPr>
          <w:rFonts w:ascii="Garamond" w:hAnsi="Garamond"/>
          <w:b/>
          <w:sz w:val="26"/>
          <w:szCs w:val="26"/>
        </w:rPr>
      </w:pPr>
    </w:p>
    <w:p w14:paraId="0F2525B3" w14:textId="77777777" w:rsidR="00DC4326" w:rsidRDefault="00DC4326" w:rsidP="000F6C30">
      <w:pPr>
        <w:ind w:left="-284"/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>
        <w:rPr>
          <w:rFonts w:ascii="Garamond" w:hAnsi="Garamond"/>
          <w:b/>
          <w:sz w:val="26"/>
          <w:szCs w:val="26"/>
        </w:rPr>
        <w:t>АТТЕСТАЦИИ ГЕНЕРИРУЮЩЕГО ОБОРУДОВАНИЯ</w:t>
      </w:r>
      <w:r w:rsidRPr="00533350">
        <w:rPr>
          <w:rFonts w:ascii="Garamond" w:hAnsi="Garamond"/>
          <w:b/>
          <w:sz w:val="26"/>
          <w:szCs w:val="26"/>
        </w:rPr>
        <w:t xml:space="preserve"> (Приложение № </w:t>
      </w:r>
      <w:r>
        <w:rPr>
          <w:rFonts w:ascii="Garamond" w:hAnsi="Garamond"/>
          <w:b/>
          <w:sz w:val="26"/>
          <w:szCs w:val="26"/>
        </w:rPr>
        <w:t>19.2</w:t>
      </w:r>
      <w:r w:rsidRPr="00533350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1F240D9C" w14:textId="77777777" w:rsidR="00DC4326" w:rsidRPr="00533350" w:rsidRDefault="00DC4326" w:rsidP="00DC4326">
      <w:pPr>
        <w:ind w:left="-284"/>
        <w:rPr>
          <w:rFonts w:ascii="Garamond" w:hAnsi="Garamond"/>
          <w:b/>
          <w:sz w:val="26"/>
          <w:szCs w:val="26"/>
        </w:rPr>
      </w:pPr>
    </w:p>
    <w:tbl>
      <w:tblPr>
        <w:tblpPr w:leftFromText="180" w:rightFromText="180" w:vertAnchor="text" w:tblpX="-289" w:tblpY="1"/>
        <w:tblOverlap w:val="never"/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833"/>
        <w:gridCol w:w="7225"/>
      </w:tblGrid>
      <w:tr w:rsidR="00DC4326" w:rsidRPr="0070181B" w14:paraId="69D76E2C" w14:textId="77777777" w:rsidTr="00414585">
        <w:trPr>
          <w:trHeight w:val="435"/>
          <w:tblHeader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2ADB62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182F23E8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44EF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713E73DE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FECD6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265D717C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DC4326" w:rsidRPr="0070181B" w14:paraId="1B57B0FE" w14:textId="77777777" w:rsidTr="00414585">
        <w:trPr>
          <w:trHeight w:val="58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A7CCF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</w:rPr>
              <w:t>2.6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B71E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Аттестация генерирующего оборудования, указанного в пп. 2.5.1–2.5.5 настоящего Регламента, осуществляется СО только по результатам тестирования, осуществляемого путем проведения комплексных испытаний, проводимых в объеме, порядке и сроки, установленные Правилами проведения испытаний (в отношении генерирующего оборудования, указанного в п. 2.5.6 настоящего Регламента, аттестация может осуществляться по результатам тестирования, осуществляемого путем проведения этапа комплексных испытаний, предусматривающего работу с максимально возможной мощностью, проводимого в порядке, установленном Правилами проведения испытаний), с учетом требований раздела 3 настоящего Регламента и особенностей, установленных:</w:t>
            </w:r>
          </w:p>
          <w:p w14:paraId="24B7A9EE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п. 6.2 настоящего Регламента в отношении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генерирующих объектов,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подлежащих аттестации по параметрам в 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lastRenderedPageBreak/>
              <w:t>соответствии с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условиями договоров, по которым поставщик мощности осуществляет продажу мощности на оптовом рынке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34FED37F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>п. 6.3 настоящего Регламента в отношении генерирующего оборудования, ранее прошедшего процедуру аттестации, тестирование которого осуществляется в целях подтверждения ранее зарегистрированного значения максимальной располагаемой мощности и предельного объема поставки мощности в случаях, указанных в п. 5.1 настоящего Регламента;</w:t>
            </w:r>
          </w:p>
          <w:p w14:paraId="2F048648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/>
                <w:sz w:val="22"/>
                <w:szCs w:val="22"/>
                <w:lang w:eastAsia="ko-KR"/>
              </w:rPr>
              <w:t>п. 6.6 настоящего Регламента в отношении модернизированных генерирующих объектов, в отношении которых заключены договоры на модернизацию;</w:t>
            </w:r>
          </w:p>
          <w:p w14:paraId="5BA03526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п. 6.10 настоящего Регламента в отношении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генерирующих объектов,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строительство которых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осуществлено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по результатам конкурентного отбора новых генерирующих объектов (далее – КОМ НГО);</w:t>
            </w:r>
          </w:p>
          <w:p w14:paraId="2C23C71A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п. 6.11 настоящего Регламента в отношении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генерирующих объектов,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строительство которых осуществлено в соответствии с решениями Правительства РФ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>, устанавливающими индивидуальные обязательные технические требования к такому генерирующему оборудованию.</w:t>
            </w:r>
          </w:p>
          <w:p w14:paraId="7399F12E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Аттестация генерирующего оборудования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в случаях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, указанных в п. 2.5.7 настоящего Регламента, осуществляется СО в порядке, установленном в п. 6.8 настоящего Регламента.</w:t>
            </w:r>
          </w:p>
          <w:p w14:paraId="73C66F83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>Аттестация генерирующего оборудования в случаях, указанных в п. 2.5.8 настоящего Регламента, осуществляется СО в порядке, установленном в п. 6.7 настоящего Регламента.</w:t>
            </w:r>
          </w:p>
          <w:p w14:paraId="1EB0F3E5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Аттестация генерирующего оборудования в случаях, указанных в п. 2.5.9 настоящего Регламента, осуществляется СО на основе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lastRenderedPageBreak/>
              <w:t>документации, представляемой поставщиком мощности в соответствии с п. 4.5 настоящего Регламента.</w:t>
            </w:r>
          </w:p>
          <w:p w14:paraId="0589630C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Под тестированием для целей аттестации понимаются процедуры определения фактических значений общесистемных и иных, определяемых отдельными решениями Правительства РФ технических параметров и характеристик генерирующего оборудования, включающие проведение комплексных испытаний (этапа комплексных испытаний, предусматривающего работу с максимально возможной мощностью) генерирующего оборудования в соответствии с требованиями Правил проведения испытаний.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8873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lastRenderedPageBreak/>
              <w:t>Аттестация генерирующего оборудования, указанного в пп. 2.5.1–2.5.5 настоящего Регламента, осуществляется СО только по результатам тестирования, осуществляемого путем проведения комплексных испытаний, проводимых в объеме, порядке и сроки, установленные Правилами проведения испытаний (в отношении генерирующего оборудования, указанного в п. 2.5.6 настоящего Регламента, аттестация может осуществляться по результатам тестирования, осуществляемого путем проведения этапа комплексных испытаний, предусматривающего работу с максимально возможной мощностью, проводимого в порядке, установленном Правилами проведения испытаний), с учетом требований раздела 3 настоящего Регламента и особенностей, установленных:</w:t>
            </w:r>
          </w:p>
          <w:p w14:paraId="3CE44306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п. 6.2 настоящего Регламента в отношении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генерирующих объектов,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подлежащих аттестации по параметрам в 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lastRenderedPageBreak/>
              <w:t>соответствии с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условиями договоров, по которым поставщик мощности осуществляет продажу мощности на оптовом рынке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1BEC0D35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>п. 6.3 настоящего Регламента в отношении генерирующего оборудования, ранее прошедшего процедуру аттестации, тестирование которого осуществляется в целях подтверждения ранее зарегистрированного значения максимальной располагаемой мощности и предельного объема поставки мощности в случаях, указанных в п. 5.1 настоящего Регламента;</w:t>
            </w:r>
          </w:p>
          <w:p w14:paraId="49C3746F" w14:textId="14CAE37E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/>
                <w:sz w:val="22"/>
                <w:szCs w:val="22"/>
                <w:lang w:eastAsia="ko-KR"/>
              </w:rPr>
              <w:t>п. 6.6 настоящего Регламента в отношении модернизированных генерирующих объектов, в отношении которых зак</w:t>
            </w:r>
            <w:r w:rsidR="00C70240" w:rsidRPr="0070181B">
              <w:rPr>
                <w:rFonts w:ascii="Garamond" w:hAnsi="Garamond"/>
                <w:sz w:val="22"/>
                <w:szCs w:val="22"/>
                <w:lang w:eastAsia="ko-KR"/>
              </w:rPr>
              <w:t>лючены договоры на модернизацию;</w:t>
            </w:r>
          </w:p>
          <w:p w14:paraId="6A56996B" w14:textId="1B71AE24" w:rsidR="00DC4326" w:rsidRPr="0070181B" w:rsidRDefault="00DC4326" w:rsidP="000F6C30">
            <w:pPr>
              <w:pStyle w:val="a5"/>
              <w:numPr>
                <w:ilvl w:val="0"/>
                <w:numId w:val="3"/>
              </w:numPr>
              <w:jc w:val="both"/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</w:pPr>
            <w:bookmarkStart w:id="1" w:name="_Hlk168524519"/>
            <w:r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п</w:t>
            </w:r>
            <w:r w:rsidR="007A5CB6"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п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 xml:space="preserve">. </w:t>
            </w:r>
            <w:r w:rsidR="00C70240"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6.8.1</w:t>
            </w:r>
            <w:r w:rsidR="00C70240"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–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6.8.2 настоящего Регламента для генерирующих объектов гидрогенерации, в отношении которых заключены ДПМ ВИЭ;</w:t>
            </w:r>
          </w:p>
          <w:p w14:paraId="17488892" w14:textId="77777777" w:rsidR="00DC4326" w:rsidRPr="0070181B" w:rsidRDefault="00DC4326" w:rsidP="000F6C30">
            <w:pPr>
              <w:pStyle w:val="a5"/>
              <w:numPr>
                <w:ilvl w:val="0"/>
                <w:numId w:val="3"/>
              </w:numPr>
              <w:jc w:val="both"/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</w:pPr>
            <w:r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п. 6.8.1</w:t>
            </w:r>
            <w:r w:rsidR="007A5CB6"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 xml:space="preserve"> настоящего Регламента для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генерирующих объектов, в отношении которых заключены договоры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 (далее – ДПМ ТБО);</w:t>
            </w:r>
          </w:p>
          <w:bookmarkEnd w:id="1"/>
          <w:p w14:paraId="54AC15B1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п. 6.10 настоящего Регламента в отношении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генерирующих объектов,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строительство которых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осуществлено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по результатам конкурентного отбора новых генерирующих объектов (далее – КОМ НГО);</w:t>
            </w:r>
          </w:p>
          <w:p w14:paraId="68C8FA2B" w14:textId="77777777" w:rsidR="00DC4326" w:rsidRPr="0070181B" w:rsidRDefault="00DC4326" w:rsidP="000F6C30">
            <w:pPr>
              <w:numPr>
                <w:ilvl w:val="0"/>
                <w:numId w:val="3"/>
              </w:numPr>
              <w:tabs>
                <w:tab w:val="left" w:pos="360"/>
              </w:tabs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п. 6.11 настоящего Регламента в отношении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генерирующих объектов,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строительство которых осуществлено в соответствии с решениями Правительства РФ</w:t>
            </w:r>
            <w:r w:rsidRPr="0070181B">
              <w:rPr>
                <w:rFonts w:ascii="Garamond" w:hAnsi="Garamond"/>
                <w:bCs/>
                <w:sz w:val="22"/>
                <w:szCs w:val="22"/>
              </w:rPr>
              <w:t>, устанавливающими индивидуальные обязательные технические требования к такому генерирующему оборудованию.</w:t>
            </w:r>
          </w:p>
          <w:p w14:paraId="01323FC8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Аттестация генерирующего оборудования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в случаях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, указанных в п. 2.5.7 настоящего Регламента, осуществляется СО в порядке, установленном в п. 6.8</w:t>
            </w:r>
            <w:r w:rsidR="001A7438"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.3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настоящего Регламента</w:t>
            </w:r>
            <w:r w:rsidR="001A7438"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, </w:t>
            </w:r>
            <w:r w:rsidR="001A7438" w:rsidRPr="0070181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с учетом особенностей, установленных п. 6.8.1 настоящего Регламента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.</w:t>
            </w:r>
          </w:p>
          <w:p w14:paraId="7FC58E4E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lastRenderedPageBreak/>
              <w:t>Аттестация генерирующего оборудования в случаях, указанных в п. 2.5.8 настоящего Регламента, осуществляется СО в порядке, установленном в п. 6.7 настоящего Регламента.</w:t>
            </w:r>
          </w:p>
          <w:p w14:paraId="58F13E72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>Аттестация генерирующего оборудования в случаях, указанных в п. 2.5.9 настоящего Регламента, осуществляется СО на основе документации, представляемой поставщиком мощности в соответствии с п. 4.5 настоящего Регламента.</w:t>
            </w:r>
          </w:p>
          <w:p w14:paraId="39F58763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Под тестированием для целей аттестации понимаются процедуры определения фактических значений общесистемных и иных, определяемых отдельными решениями Правительства РФ технических параметров и характеристик генерирующего оборудования, включающие проведение комплексных испытаний (этапа комплексных испытаний, предусматривающего работу с максимально возможной мощностью) генерирующего оборудования в соответствии с требованиями Правил проведения испытаний.</w:t>
            </w:r>
          </w:p>
        </w:tc>
      </w:tr>
      <w:tr w:rsidR="006F1175" w:rsidRPr="0070181B" w14:paraId="6B8E7D89" w14:textId="77777777" w:rsidTr="00414585">
        <w:trPr>
          <w:trHeight w:val="58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DB374" w14:textId="77777777" w:rsidR="006F1175" w:rsidRPr="0070181B" w:rsidRDefault="009B382E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  <w:lastRenderedPageBreak/>
              <w:t>3.3.6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1EF1" w14:textId="77777777" w:rsidR="006F1175" w:rsidRPr="0070181B" w:rsidRDefault="009B382E" w:rsidP="000F6C30">
            <w:pPr>
              <w:widowControl w:val="0"/>
              <w:tabs>
                <w:tab w:val="left" w:pos="1276"/>
              </w:tabs>
              <w:spacing w:before="120" w:after="120"/>
              <w:jc w:val="both"/>
              <w:outlineLvl w:val="2"/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отношении объектов ДПМ ВИЭ солнечной и ветровой генерации, прошедших процедуру аттестации,  в случае выявления несоответствия значений установленной мощности, указанной в Реестре предельных объемов поставки мощности на основании предоставленных для целей аттестации в соответствии с п. 4.1 настоящего Регламента </w:t>
            </w:r>
            <w:r w:rsidRPr="0070181B">
              <w:rPr>
                <w:rFonts w:ascii="Garamond" w:eastAsia="Batang" w:hAnsi="Garamond"/>
                <w:sz w:val="22"/>
                <w:szCs w:val="22"/>
                <w:lang w:eastAsia="ko-KR"/>
              </w:rPr>
              <w:t xml:space="preserve">паспортных </w:t>
            </w:r>
            <w:r w:rsidRPr="0070181B">
              <w:rPr>
                <w:rFonts w:ascii="Garamond" w:hAnsi="Garamond"/>
                <w:sz w:val="22"/>
                <w:szCs w:val="22"/>
              </w:rPr>
              <w:t>данных генерирующего оборудования и инверторных установок, со значением установленной мощности, указанным в Акте об общесистемных технических параметрах и характеристиках генерирующего оборудования, оформленном и утвержденном в соответствии с Правилами проведения испытаний, поставщик мощности вправе направить заявление о проведении повторной аттестации для целей уточнения значения установленной мощности с приложением паспортных данных генерирующего оборудования и инверторных установок. Предельный объем мощности генерирующего оборудования определяется в соответствии п. 6.8.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настоящего Регламента.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C70F" w14:textId="77777777" w:rsidR="006F1175" w:rsidRPr="0070181B" w:rsidRDefault="009B382E" w:rsidP="000F6C30">
            <w:pPr>
              <w:widowControl w:val="0"/>
              <w:tabs>
                <w:tab w:val="left" w:pos="1276"/>
              </w:tabs>
              <w:spacing w:before="120" w:after="120"/>
              <w:jc w:val="both"/>
              <w:outlineLvl w:val="2"/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отношении объектов ДПМ ВИЭ солнечной и ветровой генерации, прошедших процедуру аттестации,  в случае выявления несоответствия значений установленной мощности, указанной в Реестре предельных объемов поставки мощности на основании предоставленных для целей аттестации в соответствии с п. 4.1 настоящего Регламента </w:t>
            </w:r>
            <w:r w:rsidRPr="0070181B">
              <w:rPr>
                <w:rFonts w:ascii="Garamond" w:eastAsia="Batang" w:hAnsi="Garamond"/>
                <w:sz w:val="22"/>
                <w:szCs w:val="22"/>
                <w:lang w:eastAsia="ko-KR"/>
              </w:rPr>
              <w:t xml:space="preserve">паспортных </w:t>
            </w:r>
            <w:r w:rsidRPr="0070181B">
              <w:rPr>
                <w:rFonts w:ascii="Garamond" w:hAnsi="Garamond"/>
                <w:sz w:val="22"/>
                <w:szCs w:val="22"/>
              </w:rPr>
              <w:t>данных генерирующего оборудования и инверторных установок, со значением установленной мощности, указанным в Акте об общесистемных технических параметрах и характеристиках генерирующего оборудования, оформленном и утвержденном в соответствии с Правилами проведения испытаний, поставщик мощности вправе направить заявление о проведении повторной аттестации для целей уточнения значения установленной мощности с приложением паспортных данных генерирующего оборудования и инверторных установок. Предельный объем мощности генерирующего оборудования определяется в соответствии п. 6.8.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настоящего Регламента.</w:t>
            </w:r>
          </w:p>
        </w:tc>
      </w:tr>
      <w:tr w:rsidR="00446155" w:rsidRPr="0070181B" w14:paraId="1A77704F" w14:textId="77777777" w:rsidTr="00414585">
        <w:trPr>
          <w:trHeight w:val="58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2F0F9" w14:textId="77777777" w:rsidR="00446155" w:rsidRPr="0070181B" w:rsidRDefault="00446155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  <w:t>6.8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5234" w14:textId="77777777" w:rsidR="00446155" w:rsidRPr="0070181B" w:rsidRDefault="00446155" w:rsidP="000F6C30">
            <w:pPr>
              <w:widowControl w:val="0"/>
              <w:tabs>
                <w:tab w:val="left" w:pos="1276"/>
              </w:tabs>
              <w:spacing w:before="120" w:after="120"/>
              <w:jc w:val="both"/>
              <w:outlineLvl w:val="2"/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</w:pPr>
            <w:r w:rsidRPr="0070181B"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  <w:t>Особенности определения предельного объема поставки мощности генерирующего оборудования, в отношении которого заключены ДПМ ВИЭ</w:t>
            </w:r>
          </w:p>
          <w:p w14:paraId="26C57540" w14:textId="77777777" w:rsidR="00446155" w:rsidRPr="0070181B" w:rsidRDefault="00446155" w:rsidP="000F6C30">
            <w:pPr>
              <w:widowControl w:val="0"/>
              <w:numPr>
                <w:ilvl w:val="0"/>
                <w:numId w:val="6"/>
              </w:numPr>
              <w:spacing w:before="120" w:after="120"/>
              <w:ind w:left="54"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Аттестация генерирующего оборудования, в отношении 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которого заключены ДПМ ВИЭ (далее – объект генерации ВИЭ) (за исключением генерирующих объектов гидрогенерации), осуществляется СО с использованием информации о максимальных часовых величинах выработки электроэнергии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560" w:dyaOrig="400" w14:anchorId="318D1E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20" type="#_x0000_t75" style="width:28.9pt;height:19.65pt" o:ole="">
                  <v:imagedata r:id="rId8" o:title=""/>
                </v:shape>
                <o:OLEObject Type="Embed" ProgID="Equation.3" ShapeID="_x0000_i1320" DrawAspect="Content" ObjectID="_1780753203" r:id="rId9"/>
              </w:objec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в ГТП генерации, зарегистрированной в отношении объекта генерации ВИЭ, сформированных КО:</w:t>
            </w:r>
          </w:p>
          <w:p w14:paraId="002FE25C" w14:textId="77777777" w:rsidR="00446155" w:rsidRPr="0070181B" w:rsidRDefault="00446155" w:rsidP="000F6C30">
            <w:pPr>
              <w:widowControl w:val="0"/>
              <w:spacing w:before="120" w:after="120"/>
              <w:ind w:firstLine="792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1)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720" w:dyaOrig="400" w14:anchorId="0DC826CF">
                <v:shape id="_x0000_i1321" type="#_x0000_t75" style="width:36.55pt;height:19.65pt" o:ole="">
                  <v:imagedata r:id="rId10" o:title=""/>
                </v:shape>
                <o:OLEObject Type="Embed" ProgID="Equation.3" ShapeID="_x0000_i1321" DrawAspect="Content" ObjectID="_1780753204" r:id="rId11"/>
              </w:objec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– на основании информации о часовой величине выработки электроэнергии по данным, переданным в ПАК КУ КО от АИИС КУЭ участника, соответствие техническим требованиям которой подтверждено Актом о соответствии, оформленным КО (при этом если в отношении некоторых часов участник не передал в КО данные по величине выработки электрической энергии или данные переданы КО со статусом «некоммерческая информация», то для таких часов величина выработки электрической энергии принимается равной нулю);</w:t>
            </w:r>
          </w:p>
          <w:p w14:paraId="480B8930" w14:textId="77777777" w:rsidR="00446155" w:rsidRPr="0070181B" w:rsidRDefault="00446155" w:rsidP="000F6C30">
            <w:pPr>
              <w:widowControl w:val="0"/>
              <w:spacing w:before="120" w:after="120"/>
              <w:ind w:firstLine="792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2)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680" w:dyaOrig="400" w14:anchorId="52858D7E">
                <v:shape id="_x0000_i1322" type="#_x0000_t75" style="width:34.9pt;height:19.65pt" o:ole="">
                  <v:imagedata r:id="rId12" o:title=""/>
                </v:shape>
                <o:OLEObject Type="Embed" ProgID="Equation.3" ShapeID="_x0000_i1322" DrawAspect="Content" ObjectID="_1780753205" r:id="rId13"/>
              </w:objec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– на основании информации о часовой величине выработки электроэнергии, определенной в соответствии с </w:t>
            </w:r>
            <w:r w:rsidRPr="0070181B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коммерческого учета электроэнергии и мощности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11 к </w:t>
            </w:r>
            <w:r w:rsidRPr="0070181B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BEE4" w14:textId="77777777" w:rsidR="00446155" w:rsidRPr="0070181B" w:rsidRDefault="00446155" w:rsidP="000F6C30">
            <w:pPr>
              <w:widowControl w:val="0"/>
              <w:tabs>
                <w:tab w:val="left" w:pos="1276"/>
              </w:tabs>
              <w:spacing w:before="120" w:after="120"/>
              <w:jc w:val="both"/>
              <w:outlineLvl w:val="2"/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</w:pPr>
            <w:r w:rsidRPr="0070181B"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  <w:lastRenderedPageBreak/>
              <w:t>Особенности определения предельного объема поставки мощности генерирующего оборудования, в отношении которого заключены ДПМ ВИЭ</w:t>
            </w:r>
          </w:p>
          <w:p w14:paraId="349A31DB" w14:textId="77777777" w:rsidR="00446155" w:rsidRPr="0070181B" w:rsidRDefault="00446155" w:rsidP="000F6C30">
            <w:pPr>
              <w:widowControl w:val="0"/>
              <w:tabs>
                <w:tab w:val="left" w:pos="1276"/>
              </w:tabs>
              <w:spacing w:before="120" w:after="120"/>
              <w:jc w:val="both"/>
              <w:outlineLvl w:val="2"/>
              <w:rPr>
                <w:rFonts w:ascii="Garamond" w:eastAsia="Batang" w:hAnsi="Garamond"/>
                <w:b/>
                <w:sz w:val="22"/>
                <w:szCs w:val="22"/>
                <w:lang w:eastAsia="en-US"/>
              </w:rPr>
            </w:pPr>
          </w:p>
        </w:tc>
      </w:tr>
      <w:tr w:rsidR="00446155" w:rsidRPr="0070181B" w14:paraId="1449DBA4" w14:textId="77777777" w:rsidTr="00414585">
        <w:trPr>
          <w:trHeight w:val="58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C40B1" w14:textId="77777777" w:rsidR="00446155" w:rsidRPr="0070181B" w:rsidRDefault="00446155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</w:rPr>
              <w:t>6.8</w:t>
            </w: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  <w:t>.2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B6C5" w14:textId="77777777" w:rsidR="00446155" w:rsidRPr="0070181B" w:rsidRDefault="00446155" w:rsidP="000F6C30">
            <w:pPr>
              <w:widowControl w:val="0"/>
              <w:numPr>
                <w:ilvl w:val="0"/>
                <w:numId w:val="6"/>
              </w:numPr>
              <w:spacing w:before="120" w:after="120"/>
              <w:ind w:left="0" w:firstLine="763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Предельный объем мощности генерирующего оборудования, в отношении которого заключены ДПМ ВИЭ, определяется СО равным нулю в случае невыполнения хотя бы одного из следующих требований:</w:t>
            </w:r>
          </w:p>
          <w:p w14:paraId="50726FC5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для ГТП, зарегистрированной в отношении генерирующего оборудования, получено право на участие в торговле электрической энергией и мощностью на оптовом рынке;</w:t>
            </w:r>
          </w:p>
          <w:p w14:paraId="5136A7FD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генерирующее оборудование, в отношении которого зарегистрирована указанная ГТП генерации, включено в Реестр квалифицированных генерирующих объектов, функционирующих на основе использования возобновляемых источников энергии и (или) являющихся низкоуглеродными генерирующими объектами, в порядке, установленном Правительством Российской Федерации;</w:t>
            </w:r>
          </w:p>
          <w:p w14:paraId="38D7836E" w14:textId="77777777" w:rsidR="00446155" w:rsidRPr="0070181B" w:rsidRDefault="00446155" w:rsidP="000F6C30">
            <w:pPr>
              <w:numPr>
                <w:ilvl w:val="0"/>
                <w:numId w:val="5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>фактическое местоположение генерирующего объекта, передаваемое КО в СО в составе Реестра поставщиков и генерирующих объектов участников оптового рынка, однозначно соответствует местоположению, определенному в ДПМ ВИЭ;</w:t>
            </w:r>
          </w:p>
          <w:p w14:paraId="3ED9E9BA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фактический вид генерирующего объекта, передаваемый КО в СО в составе Реестра поставщиков и генерирующих объектов участников оптового рынка, однозначно соответствует виду, определенному ДПМ ВИЭ;</w:t>
            </w:r>
          </w:p>
          <w:p w14:paraId="48E86B72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суммарная установленная мощность всех введенных в эксплуатацию генерирующих объектов, указанная в паспортных данных завода-изготовителя генерирующего оборудования, представленных поставщиком в СО в соответствии с п. 4.1 настоящего Регламента, не меньше величины, равной 80% от установленной мощности генерирующего объекта, указанной в ДПМ ВИЭ.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DD51" w14:textId="77777777" w:rsidR="00446155" w:rsidRPr="0070181B" w:rsidRDefault="00446155" w:rsidP="000F6C30">
            <w:pPr>
              <w:widowControl w:val="0"/>
              <w:numPr>
                <w:ilvl w:val="0"/>
                <w:numId w:val="16"/>
              </w:numPr>
              <w:spacing w:before="120" w:after="120"/>
              <w:ind w:left="9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 xml:space="preserve">Предельный объем мощности генерирующего оборудования, в отношении которого заключены ДПМ ВИЭ 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или </w:t>
            </w:r>
            <w:r w:rsidRPr="0070181B">
              <w:rPr>
                <w:rFonts w:ascii="Garamond" w:eastAsia="Batang" w:hAnsi="Garamond"/>
                <w:bCs/>
                <w:sz w:val="22"/>
                <w:szCs w:val="22"/>
                <w:highlight w:val="yellow"/>
                <w:lang w:eastAsia="en-US"/>
              </w:rPr>
              <w:t>ДПМ ТБО</w:t>
            </w:r>
            <w:r w:rsidRPr="0070181B">
              <w:rPr>
                <w:rFonts w:ascii="Garamond" w:hAnsi="Garamond"/>
                <w:sz w:val="22"/>
                <w:szCs w:val="22"/>
              </w:rPr>
              <w:t>, определяется СО равным нулю в случае невыполнения хотя бы одного из следующих требований:</w:t>
            </w:r>
          </w:p>
          <w:p w14:paraId="132D2B4B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для ГТП, зарегистрированной в отношении генерирующего оборудования, получено право на участие в торговле электрической энергией и мощностью на оптовом рынке;</w:t>
            </w:r>
          </w:p>
          <w:p w14:paraId="46E29EEF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генерирующее оборудование, в отношении которого зарегистрирована указанная ГТП генерации, включено в Реестр квалифицированных генерирующих объектов, функционирующих на основе использования возобновляемых источников энергии и (или) являющихся низкоуглеродными генерирующими объектами, в порядке, установленном Правительством Российской Федерации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, и 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указанная информация передана КО в СО в составе Реестра поставщиков и генерирующих объектов участников оптового рынка</w:t>
            </w:r>
            <w:r w:rsidRPr="0070181B">
              <w:rPr>
                <w:rFonts w:ascii="Garamond" w:hAnsi="Garamond"/>
                <w:sz w:val="22"/>
                <w:szCs w:val="22"/>
              </w:rPr>
              <w:t>;</w:t>
            </w:r>
          </w:p>
          <w:p w14:paraId="7EF8039F" w14:textId="77777777" w:rsidR="00446155" w:rsidRPr="0070181B" w:rsidRDefault="00446155" w:rsidP="000F6C30">
            <w:pPr>
              <w:numPr>
                <w:ilvl w:val="0"/>
                <w:numId w:val="5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фактическое местоположение генерирующего объекта, передаваемое КО в СО в составе Реестра поставщиков и генерирующих объектов участников оптового рынка, однозначно соответствует местоположению, определенному в ДПМ ВИЭ 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или ДПМ ТБО</w:t>
            </w:r>
            <w:r w:rsidRPr="0070181B">
              <w:rPr>
                <w:rFonts w:ascii="Garamond" w:hAnsi="Garamond"/>
                <w:sz w:val="22"/>
                <w:szCs w:val="22"/>
              </w:rPr>
              <w:t>;</w:t>
            </w:r>
          </w:p>
          <w:p w14:paraId="0BAFF1F0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фактический вид генерирующего объекта, передаваемый КО в СО в составе Реестра поставщиков и генерирующих объектов участников оптового рынка, однозначно соответствует виду, определенному ДПМ ВИЭ 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или ДПМ ТБО</w:t>
            </w:r>
            <w:r w:rsidRPr="0070181B">
              <w:rPr>
                <w:rFonts w:ascii="Garamond" w:hAnsi="Garamond"/>
                <w:sz w:val="22"/>
                <w:szCs w:val="22"/>
              </w:rPr>
              <w:t>;</w:t>
            </w:r>
          </w:p>
          <w:p w14:paraId="77E12B5F" w14:textId="77777777" w:rsidR="00446155" w:rsidRPr="0070181B" w:rsidRDefault="00446155" w:rsidP="000F6C30">
            <w:pPr>
              <w:numPr>
                <w:ilvl w:val="0"/>
                <w:numId w:val="4"/>
              </w:numPr>
              <w:spacing w:before="120" w:after="120"/>
              <w:ind w:left="615" w:hanging="567"/>
              <w:jc w:val="both"/>
              <w:rPr>
                <w:rFonts w:ascii="Garamond" w:eastAsia="Batang" w:hAnsi="Garamond"/>
                <w:sz w:val="22"/>
                <w:szCs w:val="22"/>
                <w:lang w:eastAsia="en-US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суммарная установленная мощность всех введенных в эксплуатацию генерирующих объектов, указанная в паспортных данных завода-изготовителя генерирующего оборудования, представленных поставщиком в СО в соответствии с п. 4.1 настоящего Регламента, не меньше величины, равной 80% от установленной мощности генерирующего объекта, указанной в ДПМ ВИЭ 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или ДПМ ТБО</w: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4A029B" w:rsidRPr="0070181B" w14:paraId="1365268D" w14:textId="77777777" w:rsidTr="00414585">
        <w:trPr>
          <w:trHeight w:val="58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BED6E" w14:textId="77777777" w:rsidR="004A029B" w:rsidRPr="0070181B" w:rsidRDefault="00763127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</w:pPr>
            <w:r w:rsidRPr="0070181B"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  <w:lastRenderedPageBreak/>
              <w:t>6.8.3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8068" w14:textId="77777777" w:rsidR="004A029B" w:rsidRPr="0070181B" w:rsidRDefault="004A029B" w:rsidP="000F6C30">
            <w:pPr>
              <w:widowControl w:val="0"/>
              <w:numPr>
                <w:ilvl w:val="0"/>
                <w:numId w:val="6"/>
              </w:numPr>
              <w:tabs>
                <w:tab w:val="left" w:pos="912"/>
                <w:tab w:val="left" w:pos="1332"/>
              </w:tabs>
              <w:spacing w:before="120" w:after="120"/>
              <w:ind w:left="212" w:firstLine="425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При определении предельного объема поставки мощности объекта гидрогенерации, поставка мощности которого осуществляется по ДПМ ВИЭ, СО проверяет, что суммарная установленная мощность всех введенных в эксплуатацию генерирующих объектов гидрогенерации, относящихся к одному напорному фронту (совокупности гидротехнических сооружений, создающих подъем уровня воды вследствие преграждения или стеснения русла водотока), составляет менее 50 МВт, на основании документов:</w:t>
            </w:r>
          </w:p>
          <w:p w14:paraId="745B01E6" w14:textId="77777777" w:rsidR="004A029B" w:rsidRPr="0070181B" w:rsidRDefault="004A029B" w:rsidP="000F6C30">
            <w:pPr>
              <w:widowControl w:val="0"/>
              <w:numPr>
                <w:ilvl w:val="0"/>
                <w:numId w:val="14"/>
              </w:numPr>
              <w:tabs>
                <w:tab w:val="left" w:pos="912"/>
                <w:tab w:val="left" w:pos="13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указанных в п. 4.1 в отношении вновь вводимых в эксплуатацию объектов;</w:t>
            </w:r>
          </w:p>
          <w:p w14:paraId="6264D8E0" w14:textId="77777777" w:rsidR="004A029B" w:rsidRPr="0070181B" w:rsidRDefault="004A029B" w:rsidP="000F6C30">
            <w:pPr>
              <w:widowControl w:val="0"/>
              <w:numPr>
                <w:ilvl w:val="0"/>
                <w:numId w:val="14"/>
              </w:numPr>
              <w:tabs>
                <w:tab w:val="left" w:pos="912"/>
                <w:tab w:val="left" w:pos="13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указанных в п. 4.4 в отношении объектов при повторной аттестации.</w:t>
            </w:r>
          </w:p>
          <w:p w14:paraId="51E1012F" w14:textId="77777777" w:rsidR="004A029B" w:rsidRPr="0070181B" w:rsidRDefault="004A029B" w:rsidP="000F6C30">
            <w:pPr>
              <w:widowControl w:val="0"/>
              <w:tabs>
                <w:tab w:val="left" w:pos="912"/>
                <w:tab w:val="left" w:pos="1332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случае если суммарная установленная мощность всех введенных в эксплуатацию генерирующих объектов гидрогенерации, относящихся к одному напорному фронту, составляет 50 МВт и более, предельный объем поставки мощности генерирующего объекта гидрогенерации,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>поставка мощности которого осуществляется по ДПМ ВИЭ, относящегося к указанному напорному фронту, определяется СО равным нулю, с первого числа месяца, следующего за месяцем, в котором установлено такое несоответствие, до первого числа месяца, следующего за датой подтверждения СО, что суммарная установленная мощность всех введенных в эксплуатацию генерирующих объектов гидрогенерации, относящихся к такому напорному фронту, составляет менее 50 МВт.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52EC" w14:textId="77777777" w:rsidR="004A029B" w:rsidRPr="0070181B" w:rsidRDefault="004A029B" w:rsidP="000F6C30">
            <w:pPr>
              <w:widowControl w:val="0"/>
              <w:spacing w:before="120" w:after="120"/>
              <w:ind w:left="13" w:firstLine="708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lastRenderedPageBreak/>
              <w:t>6.8.2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При определении предельного объема поставки мощности объекта гидрогенерации, поставка мощности которого осуществляется по ДПМ ВИЭ СО проверяет, что суммарная установленная мощность всех введенных в эксплуатацию генерирующих объектов гидрогенерации, относящихся к одному напорному фронту (совокупности гидротехнических сооружений, создающих подъем уровня воды вследствие преграждения или стеснения русла водотока), составляет менее 50 МВт, на основании документов:</w:t>
            </w:r>
          </w:p>
          <w:p w14:paraId="0E350253" w14:textId="77777777" w:rsidR="004A029B" w:rsidRPr="0070181B" w:rsidRDefault="004A029B" w:rsidP="000F6C30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912"/>
                <w:tab w:val="left" w:pos="1332"/>
              </w:tabs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указанных в п. 4.1 в отношении вновь вводимых в эксплуатацию объектов;</w:t>
            </w:r>
          </w:p>
          <w:p w14:paraId="22A6F4C8" w14:textId="77777777" w:rsidR="004A029B" w:rsidRPr="0070181B" w:rsidRDefault="004A029B" w:rsidP="000F6C30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912"/>
                <w:tab w:val="left" w:pos="1332"/>
              </w:tabs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указанных в п. 4.4 в отношении объектов при повторной аттестации.</w:t>
            </w:r>
          </w:p>
          <w:p w14:paraId="7A097332" w14:textId="77777777" w:rsidR="004A029B" w:rsidRPr="0070181B" w:rsidRDefault="004A029B" w:rsidP="000F6C30">
            <w:pPr>
              <w:widowControl w:val="0"/>
              <w:tabs>
                <w:tab w:val="left" w:pos="912"/>
                <w:tab w:val="left" w:pos="1332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случае если суммарная установленная мощность всех введенных в эксплуатацию генерирующих объектов гидрогенерации, относящихся к одному напорному фронту, составляет 50 МВт и более, предельный объем поставки мощности генерирующего объекта гидрогенерации, поставка мощности которого осуществляется по ДПМ ВИЭ, относящегося к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>указанному напорному фронту, определяется СО равным нулю, с первого числа месяца, следующего за месяцем, в котором установлено такое несоответствие, до первого числа месяца, следующего за датой подтверждения СО, что суммарная установленная мощность всех введенных в эксплуатацию генерирующих объектов гидрогенерации, относящихся к такому напорному фронту, составляет менее 50 МВт.</w:t>
            </w:r>
          </w:p>
          <w:p w14:paraId="57953D7F" w14:textId="77777777" w:rsidR="004A029B" w:rsidRPr="0070181B" w:rsidRDefault="004A029B" w:rsidP="000F6C30">
            <w:pPr>
              <w:widowControl w:val="0"/>
              <w:spacing w:before="120" w:after="120"/>
              <w:ind w:left="13" w:firstLine="708"/>
              <w:jc w:val="both"/>
              <w:rPr>
                <w:rFonts w:ascii="Garamond" w:hAnsi="Garamond" w:cs="Garamond"/>
                <w:sz w:val="22"/>
                <w:szCs w:val="22"/>
                <w:highlight w:val="yellow"/>
              </w:rPr>
            </w:pPr>
          </w:p>
        </w:tc>
      </w:tr>
      <w:tr w:rsidR="00DC4326" w:rsidRPr="0070181B" w14:paraId="143B0CE0" w14:textId="77777777" w:rsidTr="00414585">
        <w:trPr>
          <w:trHeight w:val="58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84BAE7" w14:textId="77777777" w:rsidR="00DC4326" w:rsidRPr="0070181B" w:rsidRDefault="00DC4326" w:rsidP="000F6C3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F4ED" w14:textId="77777777" w:rsidR="00DC4326" w:rsidRPr="0070181B" w:rsidRDefault="00DC4326" w:rsidP="000F6C30">
            <w:pPr>
              <w:widowControl w:val="0"/>
              <w:numPr>
                <w:ilvl w:val="0"/>
                <w:numId w:val="6"/>
              </w:numPr>
              <w:tabs>
                <w:tab w:val="left" w:pos="912"/>
                <w:tab w:val="left" w:pos="1332"/>
              </w:tabs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В отношении генерирующих объектов солнечной и ветровой генерации предельный объем поставки мощности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определяется в соответствии со следующим порядком</w:t>
            </w:r>
            <w:r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>:</w:t>
            </w:r>
          </w:p>
          <w:p w14:paraId="297B0D1A" w14:textId="77777777" w:rsidR="00DC4326" w:rsidRPr="0070181B" w:rsidRDefault="00DC4326" w:rsidP="000F6C30">
            <w:pPr>
              <w:widowControl w:val="0"/>
              <w:numPr>
                <w:ilvl w:val="0"/>
                <w:numId w:val="7"/>
              </w:numPr>
              <w:tabs>
                <w:tab w:val="left" w:pos="912"/>
                <w:tab w:val="left" w:pos="1332"/>
              </w:tabs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объектов генерации ВИЭ, проходящих процедуру аттестации впервые, </w:t>
            </w:r>
            <w:r w:rsidRPr="0070181B">
              <w:rPr>
                <w:rFonts w:ascii="Garamond" w:hAnsi="Garamond"/>
                <w:sz w:val="22"/>
                <w:szCs w:val="22"/>
                <w:lang w:eastAsia="ko-KR"/>
              </w:rPr>
              <w:t xml:space="preserve">или при изменении установленной мощности таких генерирующих объектов,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или если с даты ввода соответствующего генерирующего объекта в эксплуатацию и до месяца поставки мощности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предельный объем поставки мощности был равен нулю, предельный объем поставки мощности генерирующего объекта в месяце поставки мощности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определяется равным:</w:t>
            </w:r>
          </w:p>
          <w:p w14:paraId="70B27296" w14:textId="77777777" w:rsidR="00DC4326" w:rsidRPr="0070181B" w:rsidRDefault="0070181B" w:rsidP="000F6C30">
            <w:pPr>
              <w:widowControl w:val="0"/>
              <w:spacing w:before="120" w:after="120"/>
              <w:ind w:firstLine="612"/>
              <w:rPr>
                <w:rFonts w:ascii="Garamond" w:hAnsi="Garamond" w:cs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j,m,ПО</m:t>
                  </m:r>
                </m:sub>
              </m:sSub>
              <m:r>
                <w:rPr>
                  <w:rFonts w:ascii="Cambria Math" w:eastAsia="Batang" w:hAnsi="Cambria Math"/>
                  <w:sz w:val="22"/>
                  <w:szCs w:val="22"/>
                </w:rPr>
                <m:t>=</m:t>
              </m:r>
              <m:r>
                <w:rPr>
                  <w:rFonts w:ascii="Cambria Math" w:eastAsia="Batang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ТУ_ВИЭ</m:t>
                      </m:r>
                    </m:sub>
                  </m:s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,уст_ВИЭ</m:t>
                      </m:r>
                    </m:sub>
                  </m:sSub>
                </m:e>
              </m:d>
            </m:oMath>
            <w:r w:rsidR="00DC4326" w:rsidRPr="0070181B">
              <w:rPr>
                <w:rFonts w:ascii="Garamond" w:hAnsi="Garamond" w:cs="Garamond"/>
                <w:sz w:val="22"/>
                <w:szCs w:val="22"/>
              </w:rPr>
              <w:t>,</w:t>
            </w:r>
          </w:p>
          <w:p w14:paraId="08E2E406" w14:textId="77777777" w:rsidR="00DC4326" w:rsidRPr="0070181B" w:rsidRDefault="00DC4326" w:rsidP="000F6C30">
            <w:pPr>
              <w:widowControl w:val="0"/>
              <w:spacing w:before="120" w:after="120"/>
              <w:ind w:left="284" w:hanging="284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– установленная мощность объекта генерации ВИЭ,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определенная в установленном п. 3.3.5 настоящего Регламента порядке на основании данных, указанных в паспорте технических характеристик генерирующего объекта, представленном поставщиком в СО в соответствии с п. 4.1 настоящего Регламента,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в случае выполнения следующих условий:</w:t>
            </w:r>
          </w:p>
          <w:p w14:paraId="035273A7" w14:textId="77777777" w:rsidR="00DC4326" w:rsidRPr="0070181B" w:rsidRDefault="00DC4326" w:rsidP="000F6C30">
            <w:pPr>
              <w:widowControl w:val="0"/>
              <w:numPr>
                <w:ilvl w:val="0"/>
                <w:numId w:val="8"/>
              </w:numPr>
              <w:spacing w:before="120" w:after="120"/>
              <w:ind w:left="115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для солнечной генерации максимальная часовая выработка 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689200C0">
                <v:shape id="_x0000_i1323" type="#_x0000_t75" style="width:36.55pt;height:19.65pt" o:ole="">
                  <v:imagedata r:id="rId14" o:title=""/>
                </v:shape>
                <o:OLEObject Type="Embed" ProgID="Equation.3" ShapeID="_x0000_i1323" DrawAspect="Content" ObjectID="_1780753206" r:id="rId15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равна или превышает величину, равную произведению установленной мощности объекта генерации ВИЭ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4433A7C2">
                <v:shape id="_x0000_i1324" type="#_x0000_t75" style="width:39.25pt;height:19.65pt" o:ole="">
                  <v:imagedata r:id="rId16" o:title=""/>
                </v:shape>
                <o:OLEObject Type="Embed" ProgID="Equation.3" ShapeID="_x0000_i1324" DrawAspect="Content" ObjectID="_1780753207" r:id="rId17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, который определяется для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 w:cs="Garamond"/>
                <w:i/>
                <w:sz w:val="22"/>
                <w:szCs w:val="22"/>
              </w:rPr>
              <w:t>-1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.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0CB7876F">
                <v:shape id="_x0000_i1325" type="#_x0000_t75" style="width:39.25pt;height:19.65pt" o:ole="">
                  <v:imagedata r:id="rId18" o:title=""/>
                </v:shape>
                <o:OLEObject Type="Embed" ProgID="Equation.3" ShapeID="_x0000_i1325" DrawAspect="Content" ObjectID="_1780753208" r:id="rId19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равен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0,2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для месяцев зимнего 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80" w14:anchorId="77D36B83">
                <v:shape id="_x0000_i1326" type="#_x0000_t75" style="width:22.9pt;height:19.1pt" o:ole="">
                  <v:imagedata r:id="rId20" o:title=""/>
                </v:shape>
                <o:OLEObject Type="Embed" ProgID="Equation.3" ShapeID="_x0000_i1326" DrawAspect="Content" ObjectID="_1780753209" r:id="rId21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и </w:t>
            </w:r>
            <w:r w:rsidRPr="0070181B">
              <w:rPr>
                <w:rFonts w:ascii="Garamond" w:hAnsi="Garamond"/>
                <w:sz w:val="22"/>
                <w:szCs w:val="22"/>
              </w:rPr>
              <w:t>0,5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месяцев летнего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lastRenderedPageBreak/>
              <w:t xml:space="preserve">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80" w14:anchorId="04D077A8">
                <v:shape id="_x0000_i1327" type="#_x0000_t75" style="width:19.65pt;height:19.1pt" o:ole="">
                  <v:imagedata r:id="rId22" o:title=""/>
                </v:shape>
                <o:OLEObject Type="Embed" ProgID="Equation.3" ShapeID="_x0000_i1327" DrawAspect="Content" ObjectID="_1780753210" r:id="rId23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>;</w:t>
            </w:r>
          </w:p>
          <w:p w14:paraId="0D2B8D5C" w14:textId="77777777" w:rsidR="00DC4326" w:rsidRPr="0070181B" w:rsidRDefault="00DC4326" w:rsidP="000F6C30">
            <w:pPr>
              <w:widowControl w:val="0"/>
              <w:numPr>
                <w:ilvl w:val="0"/>
                <w:numId w:val="8"/>
              </w:numPr>
              <w:spacing w:before="120" w:after="120"/>
              <w:ind w:left="115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ветровой генерации максимальная часовая выработка 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4C8B0D45">
                <v:shape id="_x0000_i1328" type="#_x0000_t75" style="width:36.55pt;height:19.65pt" o:ole="">
                  <v:imagedata r:id="rId24" o:title=""/>
                </v:shape>
                <o:OLEObject Type="Embed" ProgID="Equation.3" ShapeID="_x0000_i1328" DrawAspect="Content" ObjectID="_1780753211" r:id="rId25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равна или превышает величину, равную произведению фактической установленной мощности объекта генерации ВИЭ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0D88F479">
                <v:shape id="_x0000_i1329" type="#_x0000_t75" style="width:39.25pt;height:19.65pt" o:ole="">
                  <v:imagedata r:id="rId16" o:title=""/>
                </v:shape>
                <o:OLEObject Type="Embed" ProgID="Equation.3" ShapeID="_x0000_i1329" DrawAspect="Content" ObjectID="_1780753212" r:id="rId26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, который определяется для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-1.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5A1788B8">
                <v:shape id="_x0000_i1330" type="#_x0000_t75" style="width:39.25pt;height:19.65pt" o:ole="">
                  <v:imagedata r:id="rId18" o:title=""/>
                </v:shape>
                <o:OLEObject Type="Embed" ProgID="Equation.3" ShapeID="_x0000_i1330" DrawAspect="Content" ObjectID="_1780753213" r:id="rId27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равен </w:t>
            </w:r>
            <w:r w:rsidRPr="0070181B">
              <w:rPr>
                <w:rFonts w:ascii="Garamond" w:hAnsi="Garamond"/>
                <w:sz w:val="22"/>
                <w:szCs w:val="22"/>
              </w:rPr>
              <w:t>0,5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месяцев зимнего 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80" w14:anchorId="53E4CE9D">
                <v:shape id="_x0000_i1331" type="#_x0000_t75" style="width:22.9pt;height:19.1pt" o:ole="">
                  <v:imagedata r:id="rId20" o:title=""/>
                </v:shape>
                <o:OLEObject Type="Embed" ProgID="Equation.3" ShapeID="_x0000_i1331" DrawAspect="Content" ObjectID="_1780753214" r:id="rId28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и </w:t>
            </w:r>
            <w:r w:rsidRPr="0070181B">
              <w:rPr>
                <w:rFonts w:ascii="Garamond" w:hAnsi="Garamond"/>
                <w:sz w:val="22"/>
                <w:szCs w:val="22"/>
              </w:rPr>
              <w:t>0,2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месяцев летнего 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80" w14:anchorId="0BD739BA">
                <v:shape id="_x0000_i1332" type="#_x0000_t75" style="width:19.65pt;height:19.1pt" o:ole="">
                  <v:imagedata r:id="rId22" o:title=""/>
                </v:shape>
                <o:OLEObject Type="Embed" ProgID="Equation.3" ShapeID="_x0000_i1332" DrawAspect="Content" ObjectID="_1780753215" r:id="rId29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5ADAC509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иных случаях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</m:t>
                  </m:r>
                </m:sub>
              </m:sSub>
            </m:oMath>
            <w:r w:rsidRPr="0070181B">
              <w:rPr>
                <w:rFonts w:ascii="Garamond" w:hAnsi="Garamond"/>
                <w:sz w:val="22"/>
                <w:szCs w:val="22"/>
              </w:rPr>
              <w:t xml:space="preserve"> принимается равной нулю.</w:t>
            </w:r>
          </w:p>
          <w:p w14:paraId="15C5C719" w14:textId="77777777" w:rsidR="00DC4326" w:rsidRPr="0070181B" w:rsidRDefault="0070181B" w:rsidP="000F6C30">
            <w:pPr>
              <w:widowControl w:val="0"/>
              <w:spacing w:before="120" w:after="120"/>
              <w:ind w:firstLine="612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ТУ_ВИЭ</m:t>
                  </m:r>
                </m:sub>
              </m:sSub>
            </m:oMath>
            <w:r w:rsidR="00DC4326" w:rsidRPr="0070181B">
              <w:rPr>
                <w:rFonts w:ascii="Garamond" w:hAnsi="Garamond"/>
                <w:sz w:val="22"/>
                <w:szCs w:val="22"/>
              </w:rPr>
              <w:t xml:space="preserve"> – установленная мощность</w:t>
            </w:r>
            <w:r w:rsidR="00DC4326" w:rsidRPr="0070181B">
              <w:rPr>
                <w:rFonts w:ascii="Garamond" w:hAnsi="Garamond"/>
                <w:color w:val="000000"/>
                <w:sz w:val="22"/>
                <w:szCs w:val="22"/>
              </w:rPr>
              <w:t xml:space="preserve">, определенная в соответствии с техническими условиями на технологическое присоединение. При отсутствии соответствующего ограничения в технических условиях на технологическое присоединение величина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ТУ_ВИЭ</m:t>
                  </m:r>
                </m:sub>
              </m:sSub>
            </m:oMath>
            <w:r w:rsidR="00DC4326"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C4326" w:rsidRPr="0070181B">
              <w:rPr>
                <w:rFonts w:ascii="Garamond" w:hAnsi="Garamond"/>
                <w:color w:val="000000"/>
                <w:sz w:val="22"/>
                <w:szCs w:val="22"/>
              </w:rPr>
              <w:t xml:space="preserve">равна значению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="00DC4326" w:rsidRPr="0070181B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5F73D6A8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Информация о максимальной часовой величине выработки электроэнергии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-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1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5ACE3C22">
                <v:shape id="_x0000_i1333" type="#_x0000_t75" style="width:36.55pt;height:19.65pt" o:ole="">
                  <v:imagedata r:id="rId30" o:title=""/>
                </v:shape>
                <o:OLEObject Type="Embed" ProgID="Equation.3" ShapeID="_x0000_i1333" DrawAspect="Content" ObjectID="_1780753216" r:id="rId31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объектом генерации ВИЭ предоставляется КО в СО ежемесячно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не позднее 2 (двух) рабочих дней до начала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только после того, как в отношении объекта генерации ВИЭ получен Акт о соответствии системы коммерческого учета техническим требованиям оптового рынка электрической энергии и мощности. Максимальная часовая величина выработки электроэнергии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-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1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34E5BA98">
                <v:shape id="_x0000_i1334" type="#_x0000_t75" style="width:36.55pt;height:19.65pt" o:ole="">
                  <v:imagedata r:id="rId32" o:title=""/>
                </v:shape>
                <o:OLEObject Type="Embed" ProgID="Equation.3" ShapeID="_x0000_i1334" DrawAspect="Content" ObjectID="_1780753217" r:id="rId33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определяется КО как максимальный объем выработки электрической энергии за час за период, который начинается с даты наиболее поздней из даты получения поставщиком в отношении объекта генерации ВИЭ Акта о соответствии системы коммерческого учета техническим требованиям оптового рынка электрической энергии и мощности или даты, соответствующей 7 (семи) рабочим дням до начала месяца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>-1,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и заканчивается датой, соответствующей 7 (семи) рабочим дням до начала месяца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79FEDD4B" w14:textId="77777777" w:rsidR="00DC4326" w:rsidRPr="0070181B" w:rsidRDefault="00DC4326" w:rsidP="000F6C30">
            <w:pPr>
              <w:widowControl w:val="0"/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Если в течение периода, для которого определяется величина 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6C3435AE">
                <v:shape id="_x0000_i1335" type="#_x0000_t75" style="width:37.65pt;height:20.2pt" o:ole="">
                  <v:imagedata r:id="rId10" o:title=""/>
                </v:shape>
                <o:OLEObject Type="Embed" ProgID="Equation.3" ShapeID="_x0000_i1335" DrawAspect="Content" ObjectID="_1780753218" r:id="rId34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в соответствии с настоящим пунктом, действовало более одного Акта о соответствии системы коммерческого учета техническим требованиям оптового рынка электрической энергии и мощности, то расчет величины 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29FC3399">
                <v:shape id="_x0000_i1336" type="#_x0000_t75" style="width:37.65pt;height:20.2pt" o:ole="">
                  <v:imagedata r:id="rId35" o:title=""/>
                </v:shape>
                <o:OLEObject Type="Embed" ProgID="Equation.3" ShapeID="_x0000_i1336" DrawAspect="Content" ObjectID="_1780753219" r:id="rId36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осуществляется с учетом следующих особенностей:</w:t>
            </w:r>
          </w:p>
          <w:p w14:paraId="417C8686" w14:textId="77777777" w:rsidR="00DC4326" w:rsidRPr="0070181B" w:rsidRDefault="00DC4326" w:rsidP="000F6C30">
            <w:pPr>
              <w:widowControl w:val="0"/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используются данные об объемах выработки электроэнергии только за часы, входящие во временные интервалы, в которых действовали вышеуказанные Акты о соответствии системы коммерческого учета техническим требованиям оптового рынка электрической энергии и мощности;</w:t>
            </w:r>
          </w:p>
          <w:p w14:paraId="61419B51" w14:textId="77777777" w:rsidR="00DC4326" w:rsidRPr="0070181B" w:rsidRDefault="00DC4326" w:rsidP="000F6C30">
            <w:pPr>
              <w:widowControl w:val="0"/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используются результаты измерений, на основании которых рассчитываются данные об объемах выработки электроэнергии, переданные в КО в период действия вышеуказанных Актов о соответствии системы коммерческого учета техническим требованиям оптового рынка электрической энергии и мощности в порядке, предусмотренном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(Приложение № 11.1.1 к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 электрической энергии и мощности</w:t>
            </w:r>
            <w:r w:rsidRPr="0070181B">
              <w:rPr>
                <w:rFonts w:ascii="Garamond" w:hAnsi="Garamond"/>
                <w:sz w:val="22"/>
                <w:szCs w:val="22"/>
              </w:rPr>
              <w:t>). В случае передачи результатов измерений в КО после окончания срока действия Акта о соответствии системы коммерческого учета техническим требованиям оптового рынка электрической энергии и мощности от АИИС КУЭ, данные об объемах выработки электроэнергии в часы, в отношении которых направлены вышеуказанные результаты измерений, не используются при расчете величины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4B5430E6">
                <v:shape id="_x0000_i1337" type="#_x0000_t75" style="width:37.65pt;height:20.2pt" o:ole="">
                  <v:imagedata r:id="rId10" o:title=""/>
                </v:shape>
                <o:OLEObject Type="Embed" ProgID="Equation.3" ShapeID="_x0000_i1337" DrawAspect="Content" ObjectID="_1780753220" r:id="rId37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2CF06E0F" w14:textId="77777777" w:rsidR="00DC4326" w:rsidRPr="0070181B" w:rsidRDefault="00DC4326" w:rsidP="000F6C30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Если в течение периода, для которого определяется величина 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77E4C9DC">
                <v:shape id="_x0000_i1338" type="#_x0000_t75" style="width:37.65pt;height:20.2pt" o:ole="">
                  <v:imagedata r:id="rId10" o:title=""/>
                </v:shape>
                <o:OLEObject Type="Embed" ProgID="Equation.3" ShapeID="_x0000_i1338" DrawAspect="Content" ObjectID="_1780753221" r:id="rId38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в соответствии с настоящим пунктом, Акт о соответствии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>системы коммерческого учета техническим требованиям оптового рынка электрической энергии и мощности отсутствует, то данные об объемах выработки электроэнергии в часы, которые относятся к временным интервалам, в которых отсутствовали действующие Акты о соответствии системы коммерческого учета техническим требованиям оптового рынка электрической энергии и мощности, не используются при расчете величины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1F20E2C0">
                <v:shape id="_x0000_i1339" type="#_x0000_t75" style="width:37.65pt;height:20.2pt" o:ole="">
                  <v:imagedata r:id="rId10" o:title=""/>
                </v:shape>
                <o:OLEObject Type="Embed" ProgID="Equation.3" ShapeID="_x0000_i1339" DrawAspect="Content" ObjectID="_1780753222" r:id="rId39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1EBB040D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При этом к летнему периоду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80" w14:anchorId="4BA7B3E5">
                <v:shape id="_x0000_i1340" type="#_x0000_t75" style="width:19.65pt;height:19.1pt" o:ole="">
                  <v:imagedata r:id="rId40" o:title=""/>
                </v:shape>
                <o:OLEObject Type="Embed" ProgID="Equation.3" ShapeID="_x0000_i1340" DrawAspect="Content" ObjectID="_1780753223" r:id="rId41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относятся месяцы с апреля по сентябрь, а к зимнему периоду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80" w14:anchorId="7BAD315A">
                <v:shape id="_x0000_i1341" type="#_x0000_t75" style="width:22.9pt;height:19.1pt" o:ole="">
                  <v:imagedata r:id="rId20" o:title=""/>
                </v:shape>
                <o:OLEObject Type="Embed" ProgID="Equation.3" ShapeID="_x0000_i1341" DrawAspect="Content" ObjectID="_1780753224" r:id="rId42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– месяцы с января по март и с октября по декабрь.</w:t>
            </w:r>
          </w:p>
          <w:p w14:paraId="07972EF5" w14:textId="77777777" w:rsidR="00DC4326" w:rsidRPr="0070181B" w:rsidRDefault="00DC4326" w:rsidP="000F6C30">
            <w:pPr>
              <w:numPr>
                <w:ilvl w:val="0"/>
                <w:numId w:val="7"/>
              </w:num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 Предельный объем поставки мощности генерирующих объектов определяется СО равным нулю:</w:t>
            </w:r>
          </w:p>
          <w:p w14:paraId="4DF12460" w14:textId="77777777" w:rsidR="00DC4326" w:rsidRPr="0070181B" w:rsidRDefault="00DC4326" w:rsidP="000F6C30">
            <w:pPr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начиная с 13-го месяца, отсчитываемого с месяца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(включительно), на который СО впервые был определен предельный объем поставки мощности больше нуля, и (или) на который СО была изменена установленная мощность генерирующего объекта, в случае, если не выполнено хотя бы одно из требований:</w:t>
            </w:r>
          </w:p>
          <w:p w14:paraId="370D59A2" w14:textId="77777777" w:rsidR="00DC4326" w:rsidRPr="0070181B" w:rsidRDefault="00DC4326" w:rsidP="000F6C30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СО представлен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Акт об общесистемных технических параметрах и характеристиках генерирующего оборудования,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оформленный по результатам проведения комплексных испытаний генерирующего оборудования и утвержденный в соответствии с Правилами проведения испытаний;</w:t>
            </w:r>
          </w:p>
          <w:p w14:paraId="16345EC4" w14:textId="77777777" w:rsidR="00DC4326" w:rsidRPr="0070181B" w:rsidRDefault="00DC4326" w:rsidP="000F6C30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хотя бы в одном из месяцев периода, состоящего из 11 (одиннадцати) месяцев, начиная с месяца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М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(включительно), максимальная часовая выработка 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00" w:dyaOrig="400" w14:anchorId="3E4B4FBE">
                <v:shape id="_x0000_i1342" type="#_x0000_t75" style="width:34.9pt;height:19.65pt" o:ole="">
                  <v:imagedata r:id="rId43" o:title=""/>
                </v:shape>
                <o:OLEObject Type="Embed" ProgID="Equation.3" ShapeID="_x0000_i1342" DrawAspect="Content" ObjectID="_1780753225" r:id="rId44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достигла величины, равной произведению установленной мощности соответствующего генерирующего объекта 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6A3F0436">
                <v:shape id="_x0000_i1343" type="#_x0000_t75" style="width:40.9pt;height:19.65pt" o:ole="">
                  <v:imagedata r:id="rId45" o:title=""/>
                </v:shape>
                <o:OLEObject Type="Embed" ProgID="Equation.3" ShapeID="_x0000_i1343" DrawAspect="Content" ObjectID="_1780753226" r:id="rId46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, равного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</w:t>
            </w:r>
            <w:r w:rsidRPr="0070181B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 xml:space="preserve">для генерирующих объектов солнечной генерации и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0,75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>для генерирующих объектов ветровой генерации;</w:t>
            </w:r>
          </w:p>
          <w:p w14:paraId="7224408B" w14:textId="77777777" w:rsidR="00DC4326" w:rsidRPr="0070181B" w:rsidRDefault="00DC4326" w:rsidP="000F6C30">
            <w:pPr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начиная с января года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, наступающего через 5 лет после года месяца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70181B">
              <w:rPr>
                <w:rFonts w:ascii="Garamond" w:hAnsi="Garamond"/>
                <w:sz w:val="22"/>
                <w:szCs w:val="22"/>
              </w:rPr>
              <w:t>+13, и далее через каждые 5 лет при невыполнении хотя бы одного из требований:</w:t>
            </w:r>
          </w:p>
          <w:p w14:paraId="73CD0F4D" w14:textId="77777777" w:rsidR="00DC4326" w:rsidRPr="0070181B" w:rsidRDefault="00DC4326" w:rsidP="000F6C30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СО представлен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Акт об общесистемных технических параметрах и характеристиках генерирующего оборудования,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оформленный по результатам проведения комплексных испытаний генерирующего оборудования и утвержденный в соответствии с Правилами проведения испытаний;</w:t>
            </w:r>
          </w:p>
          <w:p w14:paraId="1CD0F217" w14:textId="77777777" w:rsidR="00DC4326" w:rsidRPr="0070181B" w:rsidRDefault="00DC4326" w:rsidP="000F6C30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 максимальная часовая выработка 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00" w:dyaOrig="400" w14:anchorId="0E9183CE">
                <v:shape id="_x0000_i1344" type="#_x0000_t75" style="width:34.9pt;height:19.65pt" o:ole="">
                  <v:imagedata r:id="rId43" o:title=""/>
                </v:shape>
                <o:OLEObject Type="Embed" ProgID="Equation.3" ShapeID="_x0000_i1344" DrawAspect="Content" ObjectID="_1780753227" r:id="rId47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хотя бы в одном из месяцев периода с декабря (включительно) года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-2 по ноябрь (включительно) года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-1 достигла величины, равной произведению установленной мощности соответствующего генерирующего объекта 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7F7A36CC">
                <v:shape id="_x0000_i1345" type="#_x0000_t75" style="width:40.9pt;height:19.65pt" o:ole="">
                  <v:imagedata r:id="rId45" o:title=""/>
                </v:shape>
                <o:OLEObject Type="Embed" ProgID="Equation.3" ShapeID="_x0000_i1345" DrawAspect="Content" ObjectID="_1780753228" r:id="rId48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, равного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</w:t>
            </w:r>
            <w:r w:rsidRPr="0070181B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для генерирующих объектов солнечной генерации и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0,75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>для генерирующих объектов ветровой генерации.</w:t>
            </w:r>
          </w:p>
          <w:p w14:paraId="16E40C3D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случае если для генерирующего объекта, в отношении которого СО был определен предельный объем поставки мощности равным нулю, начиная с некоторого месяца поставки мощности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одновременно выполняются следующие условия:</w:t>
            </w:r>
          </w:p>
          <w:p w14:paraId="45B63642" w14:textId="77777777" w:rsidR="00DC4326" w:rsidRPr="0070181B" w:rsidRDefault="00DC4326" w:rsidP="000F6C30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максимальная часовая величина выработки электроэнергии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00" w:dyaOrig="400" w14:anchorId="0E951C76">
                <v:shape id="_x0000_i1346" type="#_x0000_t75" style="width:34.9pt;height:19.65pt" o:ole="">
                  <v:imagedata r:id="rId49" o:title=""/>
                </v:shape>
                <o:OLEObject Type="Embed" ProgID="Equation.3" ShapeID="_x0000_i1346" DrawAspect="Content" ObjectID="_1780753229" r:id="rId50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хотя бы в одном месяце периода, начинающегося с месяца (включительно), предшествующего месяцу, на который СО был определен предельный объем поставки мощности равным нулю и заканчивающегося месяцем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-1, достигла величины, равной произведению установленной мощности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 xml:space="preserve">соответствующего генерирующего объекта 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09718129">
                <v:shape id="_x0000_i1347" type="#_x0000_t75" style="width:40.9pt;height:19.65pt" o:ole="">
                  <v:imagedata r:id="rId45" o:title=""/>
                </v:shape>
                <o:OLEObject Type="Embed" ProgID="Equation.3" ShapeID="_x0000_i1347" DrawAspect="Content" ObjectID="_1780753230" r:id="rId51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;</w:t>
            </w:r>
          </w:p>
          <w:p w14:paraId="7A4C615B" w14:textId="77777777" w:rsidR="00DC4326" w:rsidRPr="0070181B" w:rsidRDefault="00DC4326" w:rsidP="000F6C30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СО представлен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Акт об общесистемных технических параметрах и характеристиках генерирующего оборудования,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оформленный по результатам проведения комплексных испытаний генерирующего оборудования и утвержденный в соответствии с Правилами проведения испытаний,</w:t>
            </w:r>
          </w:p>
          <w:p w14:paraId="5F3FE907" w14:textId="77777777" w:rsidR="00DC4326" w:rsidRPr="0070181B" w:rsidRDefault="00DC4326" w:rsidP="000F6C3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то начиная с месяца поставки мощности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+1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предельный объем поставки мощности такого генерирующего объекта определяется на основании ранее представленных данных равным:</w:t>
            </w:r>
          </w:p>
          <w:p w14:paraId="31DB8CE2" w14:textId="77777777" w:rsidR="00DC4326" w:rsidRPr="0070181B" w:rsidRDefault="0070181B" w:rsidP="000F6C30">
            <w:pPr>
              <w:widowControl w:val="0"/>
              <w:tabs>
                <w:tab w:val="left" w:pos="912"/>
                <w:tab w:val="left" w:pos="1332"/>
              </w:tabs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j,m,ПО</m:t>
                  </m:r>
                </m:sub>
              </m:sSub>
              <m:r>
                <w:rPr>
                  <w:rFonts w:ascii="Cambria Math" w:eastAsia="Batang" w:hAnsi="Cambria Math"/>
                  <w:sz w:val="22"/>
                  <w:szCs w:val="22"/>
                </w:rPr>
                <m:t>=</m:t>
              </m:r>
              <m:r>
                <w:rPr>
                  <w:rFonts w:ascii="Cambria Math" w:eastAsia="Batang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ТУ_ВИЭ</m:t>
                      </m:r>
                    </m:sub>
                  </m:s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,уст_ВИЭ</m:t>
                      </m:r>
                    </m:sub>
                  </m:sSub>
                </m:e>
              </m:d>
            </m:oMath>
            <w:r w:rsidR="00DC4326" w:rsidRPr="0070181B">
              <w:rPr>
                <w:rFonts w:ascii="Garamond" w:hAnsi="Garamond" w:cs="Garamond"/>
                <w:sz w:val="22"/>
                <w:szCs w:val="22"/>
              </w:rPr>
              <w:t>.</w:t>
            </w:r>
          </w:p>
          <w:p w14:paraId="4EB87DB0" w14:textId="77777777" w:rsidR="00DC4326" w:rsidRPr="0070181B" w:rsidRDefault="00DC4326" w:rsidP="000F6C30">
            <w:pPr>
              <w:spacing w:before="120" w:after="120"/>
              <w:ind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2" w:name="_Toc376165742"/>
            <w:bookmarkStart w:id="3" w:name="_Toc396729703"/>
            <w:bookmarkStart w:id="4" w:name="_Toc431995111"/>
            <w:bookmarkStart w:id="5" w:name="_Toc438734224"/>
            <w:bookmarkStart w:id="6" w:name="_Toc452477515"/>
            <w:bookmarkStart w:id="7" w:name="_Toc468780180"/>
            <w:bookmarkStart w:id="8" w:name="_Toc469916518"/>
            <w:bookmarkStart w:id="9" w:name="_Toc470687915"/>
            <w:bookmarkStart w:id="10" w:name="_Toc498010425"/>
            <w:bookmarkStart w:id="11" w:name="_Toc13661706"/>
            <w:bookmarkStart w:id="12" w:name="_Toc41411423"/>
            <w:bookmarkStart w:id="13" w:name="_Toc144723035"/>
            <w:bookmarkStart w:id="14" w:name="_Toc157597126"/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Информация о максимальной часовой величине выработки электроэнергии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00" w:dyaOrig="400" w14:anchorId="6274AE66">
                <v:shape id="_x0000_i1348" type="#_x0000_t75" style="width:34.9pt;height:19.65pt" o:ole="">
                  <v:imagedata r:id="rId52" o:title=""/>
                </v:shape>
                <o:OLEObject Type="Embed" ProgID="Equation.3" ShapeID="_x0000_i1348" DrawAspect="Content" ObjectID="_1780753231" r:id="rId53"/>
              </w:objec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объектом генерации ВИЭ предоставляется КО в СО ежемесячно </w:t>
            </w:r>
            <w:r w:rsidRPr="0070181B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не позднее 2 (двух) рабочих дней до окончания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eastAsia="en-US"/>
              </w:rPr>
              <w:t>+</w:t>
            </w:r>
            <w:r w:rsidRPr="0070181B">
              <w:rPr>
                <w:rFonts w:ascii="Garamond" w:hAnsi="Garamond" w:cs="Garamond"/>
                <w:sz w:val="22"/>
                <w:szCs w:val="22"/>
                <w:lang w:eastAsia="en-US"/>
              </w:rPr>
              <w:t>1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. Максимальная часовая величина выработки электроэнергии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00" w:dyaOrig="400" w14:anchorId="31537B36">
                <v:shape id="_x0000_i1349" type="#_x0000_t75" style="width:34.9pt;height:19.65pt" o:ole="">
                  <v:imagedata r:id="rId54" o:title=""/>
                </v:shape>
                <o:OLEObject Type="Embed" ProgID="Equation.3" ShapeID="_x0000_i1349" DrawAspect="Content" ObjectID="_1780753232" r:id="rId55"/>
              </w:objec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определяется КО как максимальный объем выработки электрической энергии за час в месяце поставки мощности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  <w:p w14:paraId="16BA9CA3" w14:textId="77777777" w:rsidR="00DC4326" w:rsidRPr="0070181B" w:rsidRDefault="00DC4326" w:rsidP="000F6C30">
            <w:pPr>
              <w:tabs>
                <w:tab w:val="left" w:pos="36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C893" w14:textId="77777777" w:rsidR="00DC4326" w:rsidRPr="0070181B" w:rsidRDefault="002E3EBB" w:rsidP="000F6C30">
            <w:pPr>
              <w:pStyle w:val="a5"/>
              <w:widowControl w:val="0"/>
              <w:spacing w:before="120" w:after="120"/>
              <w:ind w:left="0" w:firstLine="57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6.8.3. </w:t>
            </w:r>
            <w:r w:rsidR="00DC4326"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>Предельный объем поставки мощности</w:t>
            </w:r>
            <w:r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 </w:t>
            </w:r>
            <w:r w:rsidR="00B940C5" w:rsidRPr="0070181B">
              <w:rPr>
                <w:rFonts w:ascii="Garamond" w:hAnsi="Garamond"/>
                <w:sz w:val="22"/>
                <w:szCs w:val="22"/>
                <w:highlight w:val="yellow"/>
              </w:rPr>
              <w:t>генерирующего объекта солнечной или ветровой генерации</w:t>
            </w:r>
            <w:r w:rsidR="00B940C5" w:rsidRPr="0070181B" w:rsidDel="00B940C5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>объекта</w:t>
            </w:r>
            <w:r w:rsidR="00DC4326"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 </w:t>
            </w:r>
            <w:r w:rsidR="00DC4326" w:rsidRPr="0070181B">
              <w:rPr>
                <w:rFonts w:ascii="Garamond" w:hAnsi="Garamond" w:cs="Garamond"/>
                <w:sz w:val="22"/>
                <w:szCs w:val="22"/>
              </w:rPr>
              <w:t xml:space="preserve">определяется </w:t>
            </w:r>
            <w:r w:rsidR="00225506"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 xml:space="preserve">СО </w:t>
            </w:r>
            <w:r w:rsidR="00DC4326" w:rsidRPr="0070181B">
              <w:rPr>
                <w:rFonts w:ascii="Garamond" w:hAnsi="Garamond" w:cs="Garamond"/>
                <w:sz w:val="22"/>
                <w:szCs w:val="22"/>
              </w:rPr>
              <w:t>в соответствии со следующим порядком</w:t>
            </w:r>
            <w:r w:rsidR="00DC4326"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>:</w:t>
            </w:r>
          </w:p>
          <w:p w14:paraId="7B765B15" w14:textId="77777777" w:rsidR="00DC4326" w:rsidRPr="0070181B" w:rsidRDefault="003318C9" w:rsidP="000F6C30">
            <w:pPr>
              <w:widowControl w:val="0"/>
              <w:tabs>
                <w:tab w:val="left" w:pos="912"/>
                <w:tab w:val="left" w:pos="1332"/>
              </w:tabs>
              <w:spacing w:before="120" w:after="120"/>
              <w:ind w:firstLine="573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>6.8.3.</w:t>
            </w:r>
            <w:r w:rsidR="00DC4326" w:rsidRPr="0070181B">
              <w:rPr>
                <w:rFonts w:ascii="Garamond" w:hAnsi="Garamond" w:cs="Garamond"/>
                <w:sz w:val="22"/>
                <w:szCs w:val="22"/>
                <w:highlight w:val="yellow"/>
              </w:rPr>
              <w:t>1</w:t>
            </w:r>
            <w:r w:rsidR="00DC4326" w:rsidRPr="0070181B">
              <w:rPr>
                <w:rFonts w:ascii="Garamond" w:hAnsi="Garamond" w:cs="Garamond"/>
                <w:sz w:val="22"/>
                <w:szCs w:val="22"/>
              </w:rPr>
              <w:t xml:space="preserve">. Для объектов генерации ВИЭ, проходящих процедуру аттестации впервые, </w:t>
            </w:r>
            <w:r w:rsidR="00DC4326" w:rsidRPr="0070181B">
              <w:rPr>
                <w:rFonts w:ascii="Garamond" w:hAnsi="Garamond"/>
                <w:sz w:val="22"/>
                <w:szCs w:val="22"/>
                <w:lang w:eastAsia="ko-KR"/>
              </w:rPr>
              <w:t xml:space="preserve">или при изменении установленной мощности таких генерирующих объектов, </w:t>
            </w:r>
            <w:r w:rsidR="00DC4326" w:rsidRPr="0070181B">
              <w:rPr>
                <w:rFonts w:ascii="Garamond" w:hAnsi="Garamond" w:cs="Garamond"/>
                <w:sz w:val="22"/>
                <w:szCs w:val="22"/>
              </w:rPr>
              <w:t xml:space="preserve">или если с даты ввода соответствующего генерирующего объекта в эксплуатацию и до месяца поставки мощности </w:t>
            </w:r>
            <w:r w:rsidR="00DC4326"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="00DC4326" w:rsidRPr="0070181B">
              <w:rPr>
                <w:rFonts w:ascii="Garamond" w:hAnsi="Garamond" w:cs="Garamond"/>
                <w:sz w:val="22"/>
                <w:szCs w:val="22"/>
              </w:rPr>
              <w:t xml:space="preserve"> предельный объем поставки мощности был равен нулю, предельный объем поставки мощности генерирующего объекта в месяце поставки мощности </w:t>
            </w:r>
            <w:r w:rsidR="00DC4326"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="00DC4326" w:rsidRPr="0070181B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="00DC4326" w:rsidRPr="0070181B">
              <w:rPr>
                <w:rFonts w:ascii="Garamond" w:hAnsi="Garamond" w:cs="Garamond"/>
                <w:sz w:val="22"/>
                <w:szCs w:val="22"/>
              </w:rPr>
              <w:t>определяется равным:</w:t>
            </w:r>
          </w:p>
          <w:p w14:paraId="069130DD" w14:textId="77777777" w:rsidR="00DC4326" w:rsidRPr="0070181B" w:rsidRDefault="0070181B" w:rsidP="000F6C30">
            <w:pPr>
              <w:widowControl w:val="0"/>
              <w:spacing w:before="120" w:after="120"/>
              <w:ind w:firstLine="612"/>
              <w:rPr>
                <w:rFonts w:ascii="Garamond" w:hAnsi="Garamond" w:cs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j,m,ПО</m:t>
                  </m:r>
                </m:sub>
              </m:sSub>
              <m:r>
                <w:rPr>
                  <w:rFonts w:ascii="Cambria Math" w:eastAsia="Batang" w:hAnsi="Cambria Math"/>
                  <w:sz w:val="22"/>
                  <w:szCs w:val="22"/>
                </w:rPr>
                <m:t>=</m:t>
              </m:r>
              <m:r>
                <w:rPr>
                  <w:rFonts w:ascii="Cambria Math" w:eastAsia="Batang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ТУ_ВИЭ</m:t>
                      </m:r>
                    </m:sub>
                  </m:s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,уст_ВИЭ</m:t>
                      </m:r>
                    </m:sub>
                  </m:sSub>
                </m:e>
              </m:d>
            </m:oMath>
            <w:r w:rsidR="00DC4326" w:rsidRPr="0070181B">
              <w:rPr>
                <w:rFonts w:ascii="Garamond" w:hAnsi="Garamond" w:cs="Garamond"/>
                <w:sz w:val="22"/>
                <w:szCs w:val="22"/>
              </w:rPr>
              <w:t>,</w:t>
            </w:r>
          </w:p>
          <w:p w14:paraId="0B0C480F" w14:textId="77777777" w:rsidR="00DC4326" w:rsidRPr="0070181B" w:rsidRDefault="00DC4326" w:rsidP="000F6C30">
            <w:pPr>
              <w:widowControl w:val="0"/>
              <w:spacing w:before="120" w:after="120"/>
              <w:ind w:left="284" w:hanging="284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– установленная мощность объекта генерации ВИЭ,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определенная в установленном п. 3.3.5 настоящего Регламента порядке на основании данных, указанных в паспорте технических характеристик генерирующего объекта, представленном поставщиком в СО в соответствии с п. 4.1 настоящего Регламента,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в случае выполнения следующих условий:</w:t>
            </w:r>
          </w:p>
          <w:p w14:paraId="71351CA5" w14:textId="77777777" w:rsidR="00DC4326" w:rsidRPr="0070181B" w:rsidRDefault="00DC4326" w:rsidP="000F6C30">
            <w:pPr>
              <w:widowControl w:val="0"/>
              <w:numPr>
                <w:ilvl w:val="0"/>
                <w:numId w:val="8"/>
              </w:numPr>
              <w:spacing w:before="120" w:after="120"/>
              <w:ind w:left="1152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для солнечной генерации максимальная часовая выработка 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6AAA9FA1">
                <v:shape id="_x0000_i1350" type="#_x0000_t75" style="width:36.55pt;height:19.65pt" o:ole="">
                  <v:imagedata r:id="rId14" o:title=""/>
                </v:shape>
                <o:OLEObject Type="Embed" ProgID="Equation.3" ShapeID="_x0000_i1350" DrawAspect="Content" ObjectID="_1780753233" r:id="rId56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равна или превышает величину, равную произведению установленной мощности объекта генерации ВИЭ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2EBADB9A">
                <v:shape id="_x0000_i1351" type="#_x0000_t75" style="width:39.8pt;height:19.65pt" o:ole="">
                  <v:imagedata r:id="rId16" o:title=""/>
                </v:shape>
                <o:OLEObject Type="Embed" ProgID="Equation.3" ShapeID="_x0000_i1351" DrawAspect="Content" ObjectID="_1780753234" r:id="rId57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, который определяется для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 w:cs="Garamond"/>
                <w:i/>
                <w:sz w:val="22"/>
                <w:szCs w:val="22"/>
              </w:rPr>
              <w:t>-1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.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51875CF0">
                <v:shape id="_x0000_i1352" type="#_x0000_t75" style="width:39.8pt;height:19.65pt" o:ole="">
                  <v:imagedata r:id="rId18" o:title=""/>
                </v:shape>
                <o:OLEObject Type="Embed" ProgID="Equation.3" ShapeID="_x0000_i1352" DrawAspect="Content" ObjectID="_1780753235" r:id="rId58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равен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0,2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для месяцев зимнего 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80" w14:anchorId="510553A7">
                <v:shape id="_x0000_i1353" type="#_x0000_t75" style="width:22.9pt;height:19.1pt" o:ole="">
                  <v:imagedata r:id="rId20" o:title=""/>
                </v:shape>
                <o:OLEObject Type="Embed" ProgID="Equation.3" ShapeID="_x0000_i1353" DrawAspect="Content" ObjectID="_1780753236" r:id="rId59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и </w:t>
            </w:r>
            <w:r w:rsidRPr="0070181B">
              <w:rPr>
                <w:rFonts w:ascii="Garamond" w:hAnsi="Garamond"/>
                <w:sz w:val="22"/>
                <w:szCs w:val="22"/>
              </w:rPr>
              <w:t>0,5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месяцев летнего 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80" w14:anchorId="54672028">
                <v:shape id="_x0000_i1354" type="#_x0000_t75" style="width:19.65pt;height:19.1pt" o:ole="">
                  <v:imagedata r:id="rId22" o:title=""/>
                </v:shape>
                <o:OLEObject Type="Embed" ProgID="Equation.3" ShapeID="_x0000_i1354" DrawAspect="Content" ObjectID="_1780753237" r:id="rId60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>;</w:t>
            </w:r>
          </w:p>
          <w:p w14:paraId="1D98E4CC" w14:textId="77777777" w:rsidR="00DC4326" w:rsidRPr="0070181B" w:rsidRDefault="00DC4326" w:rsidP="000F6C30">
            <w:pPr>
              <w:widowControl w:val="0"/>
              <w:numPr>
                <w:ilvl w:val="0"/>
                <w:numId w:val="8"/>
              </w:numPr>
              <w:spacing w:before="120" w:after="120"/>
              <w:ind w:left="115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 w:cs="Garamond"/>
                <w:sz w:val="22"/>
                <w:szCs w:val="22"/>
              </w:rPr>
              <w:lastRenderedPageBreak/>
              <w:t xml:space="preserve"> для ветровой генерации максимальная часовая выработка 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13498D5A">
                <v:shape id="_x0000_i1355" type="#_x0000_t75" style="width:36.55pt;height:19.65pt" o:ole="">
                  <v:imagedata r:id="rId24" o:title=""/>
                </v:shape>
                <o:OLEObject Type="Embed" ProgID="Equation.3" ShapeID="_x0000_i1355" DrawAspect="Content" ObjectID="_1780753238" r:id="rId61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равна или превышает величину, равную произведению фактической установленной мощности объекта генерации ВИЭ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07C081FA">
                <v:shape id="_x0000_i1356" type="#_x0000_t75" style="width:39.8pt;height:19.65pt" o:ole="">
                  <v:imagedata r:id="rId16" o:title=""/>
                </v:shape>
                <o:OLEObject Type="Embed" ProgID="Equation.3" ShapeID="_x0000_i1356" DrawAspect="Content" ObjectID="_1780753239" r:id="rId62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, который определяется для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-1.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7F4703D9">
                <v:shape id="_x0000_i1357" type="#_x0000_t75" style="width:39.8pt;height:19.65pt" o:ole="">
                  <v:imagedata r:id="rId18" o:title=""/>
                </v:shape>
                <o:OLEObject Type="Embed" ProgID="Equation.3" ShapeID="_x0000_i1357" DrawAspect="Content" ObjectID="_1780753240" r:id="rId63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равен </w:t>
            </w:r>
            <w:r w:rsidRPr="0070181B">
              <w:rPr>
                <w:rFonts w:ascii="Garamond" w:hAnsi="Garamond"/>
                <w:sz w:val="22"/>
                <w:szCs w:val="22"/>
              </w:rPr>
              <w:t>0,5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месяцев зимнего 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80" w14:anchorId="626B863A">
                <v:shape id="_x0000_i1358" type="#_x0000_t75" style="width:22.9pt;height:19.1pt" o:ole="">
                  <v:imagedata r:id="rId20" o:title=""/>
                </v:shape>
                <o:OLEObject Type="Embed" ProgID="Equation.3" ShapeID="_x0000_i1358" DrawAspect="Content" ObjectID="_1780753241" r:id="rId64"/>
              </w:objec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и </w:t>
            </w:r>
            <w:r w:rsidRPr="0070181B">
              <w:rPr>
                <w:rFonts w:ascii="Garamond" w:hAnsi="Garamond"/>
                <w:sz w:val="22"/>
                <w:szCs w:val="22"/>
              </w:rPr>
              <w:t>0,2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 для месяцев летнего периода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80" w14:anchorId="52095C93">
                <v:shape id="_x0000_i1359" type="#_x0000_t75" style="width:19.65pt;height:19.1pt" o:ole="">
                  <v:imagedata r:id="rId22" o:title=""/>
                </v:shape>
                <o:OLEObject Type="Embed" ProgID="Equation.3" ShapeID="_x0000_i1359" DrawAspect="Content" ObjectID="_1780753242" r:id="rId65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0D8E2D85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иных случаях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</m:t>
                  </m:r>
                </m:sub>
              </m:sSub>
            </m:oMath>
            <w:r w:rsidRPr="0070181B">
              <w:rPr>
                <w:rFonts w:ascii="Garamond" w:hAnsi="Garamond"/>
                <w:sz w:val="22"/>
                <w:szCs w:val="22"/>
              </w:rPr>
              <w:t xml:space="preserve"> принимается равной нулю.</w:t>
            </w:r>
          </w:p>
          <w:p w14:paraId="2274FEC4" w14:textId="77777777" w:rsidR="00225506" w:rsidRPr="0070181B" w:rsidRDefault="00845ECC" w:rsidP="000F6C30">
            <w:pPr>
              <w:widowControl w:val="0"/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720" w:dyaOrig="400" w14:anchorId="4C3156C2">
                <v:shape id="_x0000_i1360" type="#_x0000_t75" style="width:36.55pt;height:19.65pt" o:ole="">
                  <v:imagedata r:id="rId66" o:title=""/>
                </v:shape>
                <o:OLEObject Type="Embed" ProgID="Equation.3" ShapeID="_x0000_i1360" DrawAspect="Content" ObjectID="_1780753243" r:id="rId67"/>
              </w:object>
            </w:r>
            <w:r w:rsidR="00225506"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переданная КО в СО</w:t>
            </w:r>
            <w:r w:rsidR="006244C1"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максимальная</w:t>
            </w:r>
            <w:r w:rsidR="00225506"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часовая величина выработки электроэнергии по данным, переданным в ПАК КУ КО от АИИС КУЭ участника, соответствие техническим требованиям которой подтверждено Актом о соответствии, оформленным КО (при этом если в отношении некоторых часов участник не передал в КО данные по величине выработки электрической энергии или данные переданы КО со статусом «некоммерческая информация», то для таких часов величина выработки электрической энергии принимается равной нулю).</w:t>
            </w:r>
          </w:p>
          <w:p w14:paraId="7D5E688F" w14:textId="77777777" w:rsidR="00DC4326" w:rsidRPr="0070181B" w:rsidRDefault="0070181B" w:rsidP="000F6C30">
            <w:pPr>
              <w:widowControl w:val="0"/>
              <w:spacing w:before="120" w:after="120"/>
              <w:ind w:firstLine="612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ТУ_ВИЭ</m:t>
                  </m:r>
                </m:sub>
              </m:sSub>
            </m:oMath>
            <w:r w:rsidR="00DC4326" w:rsidRPr="0070181B">
              <w:rPr>
                <w:rFonts w:ascii="Garamond" w:hAnsi="Garamond"/>
                <w:sz w:val="22"/>
                <w:szCs w:val="22"/>
              </w:rPr>
              <w:t xml:space="preserve"> – установленная мощность</w:t>
            </w:r>
            <w:r w:rsidR="00DC4326" w:rsidRPr="0070181B">
              <w:rPr>
                <w:rFonts w:ascii="Garamond" w:hAnsi="Garamond"/>
                <w:color w:val="000000"/>
                <w:sz w:val="22"/>
                <w:szCs w:val="22"/>
              </w:rPr>
              <w:t xml:space="preserve">, определенная в соответствии с техническими условиями на технологическое присоединение. При отсутствии соответствующего ограничения в технических условиях на технологическое присоединение величина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ТУ_ВИЭ</m:t>
                  </m:r>
                </m:sub>
              </m:sSub>
            </m:oMath>
            <w:r w:rsidR="00DC4326" w:rsidRPr="0070181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C4326" w:rsidRPr="0070181B">
              <w:rPr>
                <w:rFonts w:ascii="Garamond" w:hAnsi="Garamond"/>
                <w:color w:val="000000"/>
                <w:sz w:val="22"/>
                <w:szCs w:val="22"/>
              </w:rPr>
              <w:t xml:space="preserve">равна значению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,уст_ВИЭ</m:t>
                  </m:r>
                </m:sub>
              </m:sSub>
            </m:oMath>
            <w:r w:rsidR="00DC4326" w:rsidRPr="0070181B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29DE4178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Информация о максимальной часовой величине выработки электроэнергии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-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1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1BDA24C6">
                <v:shape id="_x0000_i1361" type="#_x0000_t75" style="width:36.55pt;height:19.65pt" o:ole="">
                  <v:imagedata r:id="rId30" o:title=""/>
                </v:shape>
                <o:OLEObject Type="Embed" ProgID="Equation.3" ShapeID="_x0000_i1361" DrawAspect="Content" ObjectID="_1780753244" r:id="rId68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объектом генерации ВИЭ предоставляется КО в СО ежемесячно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 xml:space="preserve">не позднее 2 (двух) рабочих дней до начала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только после того, как в отношении объекта генерации ВИЭ получен Акт о соответствии системы коммерческого учета техническим требованиям оптового рынка электрической энергии и мощности. Максимальная часовая величина выработки электроэнергии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-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1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20" w:dyaOrig="400" w14:anchorId="1AC180AC">
                <v:shape id="_x0000_i1362" type="#_x0000_t75" style="width:36.55pt;height:19.65pt" o:ole="">
                  <v:imagedata r:id="rId32" o:title=""/>
                </v:shape>
                <o:OLEObject Type="Embed" ProgID="Equation.3" ShapeID="_x0000_i1362" DrawAspect="Content" ObjectID="_1780753245" r:id="rId69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определяется КО как максимальный объем выработки электрической энергии за час за период, который начинается с даты наиболее поздней из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 xml:space="preserve">даты получения поставщиком в отношении объекта генерации ВИЭ Акта о соответствии системы коммерческого учета техническим требованиям оптового рынка электрической энергии и мощности или даты, соответствующей 7 (семи) рабочим дням до начала месяца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>-1,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и заканчивается датой, соответствующей 7 (семи) рабочим дням до начала месяца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4E825476" w14:textId="77777777" w:rsidR="00DC4326" w:rsidRPr="0070181B" w:rsidRDefault="00DC4326" w:rsidP="000F6C30">
            <w:pPr>
              <w:widowControl w:val="0"/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Если в течение периода, для которого определяется величина 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0C71F791">
                <v:shape id="_x0000_i1363" type="#_x0000_t75" style="width:37.65pt;height:20.2pt" o:ole="">
                  <v:imagedata r:id="rId10" o:title=""/>
                </v:shape>
                <o:OLEObject Type="Embed" ProgID="Equation.3" ShapeID="_x0000_i1363" DrawAspect="Content" ObjectID="_1780753246" r:id="rId70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в соответствии с настоящим пунктом, действовало более одного Акта о соответствии системы коммерческого учета техническим требованиям оптового рынка электрической энергии и мощности, то расчет величины 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0B33282E">
                <v:shape id="_x0000_i1364" type="#_x0000_t75" style="width:37.65pt;height:20.2pt" o:ole="">
                  <v:imagedata r:id="rId35" o:title=""/>
                </v:shape>
                <o:OLEObject Type="Embed" ProgID="Equation.3" ShapeID="_x0000_i1364" DrawAspect="Content" ObjectID="_1780753247" r:id="rId71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осуществляется с учетом следующих особенностей:</w:t>
            </w:r>
          </w:p>
          <w:p w14:paraId="78EF11B9" w14:textId="77777777" w:rsidR="00DC4326" w:rsidRPr="0070181B" w:rsidRDefault="00DC4326" w:rsidP="000F6C30">
            <w:pPr>
              <w:widowControl w:val="0"/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>используются данные об объемах выработки электроэнергии только за часы, входящие во временные интервалы, в которых действовали вышеуказанные Акты о соответствии системы коммерческого учета техническим требованиям оптового рынка электрической энергии и мощности;</w:t>
            </w:r>
          </w:p>
          <w:p w14:paraId="0687E4C4" w14:textId="77777777" w:rsidR="00DC4326" w:rsidRPr="0070181B" w:rsidRDefault="00DC4326" w:rsidP="000F6C30">
            <w:pPr>
              <w:widowControl w:val="0"/>
              <w:numPr>
                <w:ilvl w:val="0"/>
                <w:numId w:val="1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используются результаты измерений, на основании которых рассчитываются данные об объемах выработки электроэнергии, переданные в КО в период действия вышеуказанных Актов о соответствии системы коммерческого учета техническим требованиям оптового рынка электрической энергии и мощности в порядке, предусмотренном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(Приложение № 11.1.1 к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 электрической энергии и мощности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). В случае передачи результатов измерений в КО после окончания срока действия Акта о соответствии системы коммерческого учета техническим требованиям оптового рынка электрической энергии и мощности от АИИС КУЭ, данные об объемах выработки электроэнергии в часы, в отношении которых направлены вышеуказанные результаты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>измерений, не используются при расчете величины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44993085">
                <v:shape id="_x0000_i1365" type="#_x0000_t75" style="width:37.65pt;height:20.2pt" o:ole="">
                  <v:imagedata r:id="rId10" o:title=""/>
                </v:shape>
                <o:OLEObject Type="Embed" ProgID="Equation.3" ShapeID="_x0000_i1365" DrawAspect="Content" ObjectID="_1780753248" r:id="rId72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265FDEBD" w14:textId="77777777" w:rsidR="00DC4326" w:rsidRPr="0070181B" w:rsidRDefault="00DC4326" w:rsidP="000F6C30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Если в течение периода, для которого определяется величина 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43E746EB">
                <v:shape id="_x0000_i1366" type="#_x0000_t75" style="width:37.65pt;height:20.2pt" o:ole="">
                  <v:imagedata r:id="rId10" o:title=""/>
                </v:shape>
                <o:OLEObject Type="Embed" ProgID="Equation.3" ShapeID="_x0000_i1366" DrawAspect="Content" ObjectID="_1780753249" r:id="rId73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в соответствии с настоящим пунктом, Акт о соответствии системы коммерческого учета техническим требованиям оптового рынка электрической энергии и мощности отсутствует, то данные об объемах выработки электроэнергии в часы, которые относятся к временным интервалам, в которых отсутствовали действующие Акты о соответствии системы коммерческого учета техническим требованиям оптового рынка электрической энергии и мощности, не используются при расчете величины</w:t>
            </w:r>
            <w:r w:rsidRPr="0070181B">
              <w:rPr>
                <w:rFonts w:ascii="Garamond" w:hAnsi="Garamond"/>
                <w:sz w:val="22"/>
                <w:szCs w:val="22"/>
              </w:rPr>
              <w:object w:dxaOrig="720" w:dyaOrig="400" w14:anchorId="1A986EBA">
                <v:shape id="_x0000_i1367" type="#_x0000_t75" style="width:37.65pt;height:20.2pt" o:ole="">
                  <v:imagedata r:id="rId10" o:title=""/>
                </v:shape>
                <o:OLEObject Type="Embed" ProgID="Equation.3" ShapeID="_x0000_i1367" DrawAspect="Content" ObjectID="_1780753250" r:id="rId74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.</w:t>
            </w:r>
          </w:p>
          <w:p w14:paraId="46F0C097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При этом к летнему периоду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00" w:dyaOrig="380" w14:anchorId="64DCA8BD">
                <v:shape id="_x0000_i1368" type="#_x0000_t75" style="width:19.65pt;height:19.1pt" o:ole="">
                  <v:imagedata r:id="rId40" o:title=""/>
                </v:shape>
                <o:OLEObject Type="Embed" ProgID="Equation.3" ShapeID="_x0000_i1368" DrawAspect="Content" ObjectID="_1780753251" r:id="rId75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относятся месяцы с апреля по сентябрь, а к зимнему периоду </w:t>
            </w:r>
            <w:r w:rsidRPr="0070181B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80" w14:anchorId="00424C55">
                <v:shape id="_x0000_i1369" type="#_x0000_t75" style="width:22.9pt;height:19.1pt" o:ole="">
                  <v:imagedata r:id="rId20" o:title=""/>
                </v:shape>
                <o:OLEObject Type="Embed" ProgID="Equation.3" ShapeID="_x0000_i1369" DrawAspect="Content" ObjectID="_1780753252" r:id="rId76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– месяцы с января по март и с октября по декабрь.</w:t>
            </w:r>
          </w:p>
          <w:p w14:paraId="1D194915" w14:textId="77777777" w:rsidR="00DC4326" w:rsidRPr="0070181B" w:rsidRDefault="009C140C" w:rsidP="000F6C30">
            <w:pPr>
              <w:spacing w:before="120" w:after="120"/>
              <w:ind w:firstLine="36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6.8.3.</w:t>
            </w:r>
            <w:r w:rsidR="00DC4326" w:rsidRPr="0070181B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="00DC4326" w:rsidRPr="0070181B">
              <w:rPr>
                <w:rFonts w:ascii="Garamond" w:hAnsi="Garamond"/>
                <w:sz w:val="22"/>
                <w:szCs w:val="22"/>
              </w:rPr>
              <w:t>. Предельный объем поставки мощности генерирующих объектов определяется СО равным нулю:</w:t>
            </w:r>
          </w:p>
          <w:p w14:paraId="6E157781" w14:textId="77777777" w:rsidR="00DC4326" w:rsidRPr="0070181B" w:rsidRDefault="00DC4326" w:rsidP="000F6C30">
            <w:pPr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начиная с 13-го месяца, отсчитываемого с месяца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(включительно), на который СО впервые был определен предельный объем поставки мощности больше нуля, и (или) на который СО была изменена установленная мощность генерирующего объекта, в случае, если не выполнено хотя бы одно из требований:</w:t>
            </w:r>
          </w:p>
          <w:p w14:paraId="489677A4" w14:textId="77777777" w:rsidR="00DC4326" w:rsidRPr="0070181B" w:rsidRDefault="00DC4326" w:rsidP="000F6C30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СО представлен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Акт об общесистемных технических параметрах и характеристиках генерирующего оборудования,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оформленный по результатам проведения комплексных испытаний генерирующего оборудования и утвержденный в соответствии с Правилами проведения испытаний;</w:t>
            </w:r>
          </w:p>
          <w:p w14:paraId="4F789815" w14:textId="77777777" w:rsidR="00DC4326" w:rsidRPr="0070181B" w:rsidRDefault="00DC4326" w:rsidP="000F6C30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хотя бы в одном из месяцев периода, состоящего из 11 (одиннадцати) месяцев, начиная с месяца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М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(включительно), максимальная часовая выработка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 xml:space="preserve">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00" w:dyaOrig="400" w14:anchorId="0A76FB0D">
                <v:shape id="_x0000_i1370" type="#_x0000_t75" style="width:35.45pt;height:19.65pt" o:ole="">
                  <v:imagedata r:id="rId43" o:title=""/>
                </v:shape>
                <o:OLEObject Type="Embed" ProgID="Equation.3" ShapeID="_x0000_i1370" DrawAspect="Content" ObjectID="_1780753253" r:id="rId77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достигла величины, равной произведению установленной мощности соответствующего генерирующего объекта 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1189CE9C">
                <v:shape id="_x0000_i1371" type="#_x0000_t75" style="width:41.45pt;height:19.65pt" o:ole="">
                  <v:imagedata r:id="rId45" o:title=""/>
                </v:shape>
                <o:OLEObject Type="Embed" ProgID="Equation.3" ShapeID="_x0000_i1371" DrawAspect="Content" ObjectID="_1780753254" r:id="rId78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, равного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</w:t>
            </w:r>
            <w:r w:rsidRPr="0070181B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для генерирующих объектов солнечной генерации и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0,75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>для генерирующих объектов ветровой генерации;</w:t>
            </w:r>
          </w:p>
          <w:p w14:paraId="606F3EBC" w14:textId="77777777" w:rsidR="00DC4326" w:rsidRPr="0070181B" w:rsidRDefault="00DC4326" w:rsidP="000F6C30">
            <w:pPr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начиная с января года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, наступающего через 5 лет после года месяца 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70181B">
              <w:rPr>
                <w:rFonts w:ascii="Garamond" w:hAnsi="Garamond"/>
                <w:sz w:val="22"/>
                <w:szCs w:val="22"/>
              </w:rPr>
              <w:t>+13, и далее через каждые 5 лет при невыполнении хотя бы одного из требований:</w:t>
            </w:r>
          </w:p>
          <w:p w14:paraId="26C69BB9" w14:textId="77777777" w:rsidR="00DC4326" w:rsidRPr="0070181B" w:rsidRDefault="00DC4326" w:rsidP="000F6C30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СО представлен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Акт об общесистемных технических параметрах и характеристиках генерирующего оборудования,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оформленный по результатам проведения комплексных испытаний генерирующего оборудования и утвержденный в соответствии с Правилами проведения испытаний;</w:t>
            </w:r>
          </w:p>
          <w:p w14:paraId="2C50D17D" w14:textId="77777777" w:rsidR="00DC4326" w:rsidRPr="0070181B" w:rsidRDefault="00DC4326" w:rsidP="000F6C30">
            <w:pPr>
              <w:numPr>
                <w:ilvl w:val="0"/>
                <w:numId w:val="1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 максимальная часовая выработка электрической 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00" w:dyaOrig="400" w14:anchorId="6EC7F0F4">
                <v:shape id="_x0000_i1372" type="#_x0000_t75" style="width:35.45pt;height:19.65pt" o:ole="">
                  <v:imagedata r:id="rId43" o:title=""/>
                </v:shape>
                <o:OLEObject Type="Embed" ProgID="Equation.3" ShapeID="_x0000_i1372" DrawAspect="Content" ObjectID="_1780753255" r:id="rId79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хотя бы в одном из месяцев периода с декабря (включительно) года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-2 по ноябрь (включительно) года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-1 достигла величины, равной произведению установленной мощности соответствующего генерирующего объекта 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0773BDBD">
                <v:shape id="_x0000_i1373" type="#_x0000_t75" style="width:41.45pt;height:19.65pt" o:ole="">
                  <v:imagedata r:id="rId45" o:title=""/>
                </v:shape>
                <o:OLEObject Type="Embed" ProgID="Equation.3" ShapeID="_x0000_i1373" DrawAspect="Content" ObjectID="_1780753256" r:id="rId80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, равного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</w:t>
            </w:r>
            <w:r w:rsidRPr="0070181B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для генерирующих объектов солнечной генерации и </w:t>
            </w:r>
            <w:r w:rsidRPr="0070181B">
              <w:rPr>
                <w:rFonts w:ascii="Garamond" w:hAnsi="Garamond" w:cs="Garamond"/>
                <w:sz w:val="22"/>
                <w:szCs w:val="22"/>
              </w:rPr>
              <w:t>0,75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70181B">
              <w:rPr>
                <w:rFonts w:ascii="Garamond" w:hAnsi="Garamond"/>
                <w:sz w:val="22"/>
                <w:szCs w:val="22"/>
              </w:rPr>
              <w:t>для генерирующих объектов ветровой генерации.</w:t>
            </w:r>
          </w:p>
          <w:p w14:paraId="3381749D" w14:textId="77777777" w:rsidR="00B840EA" w:rsidRPr="0070181B" w:rsidRDefault="00B840EA" w:rsidP="000F6C30">
            <w:pPr>
              <w:widowControl w:val="0"/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Информация о </w:t>
            </w:r>
            <w:r w:rsidR="006244C1"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максимальной 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часовой величине выработки электроэнергии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680" w:dyaOrig="400" w14:anchorId="7E42A58B">
                <v:shape id="_x0000_i1374" type="#_x0000_t75" style="width:34.9pt;height:19.65pt" o:ole="">
                  <v:imagedata r:id="rId12" o:title=""/>
                </v:shape>
                <o:OLEObject Type="Embed" ProgID="Equation.3" ShapeID="_x0000_i1374" DrawAspect="Content" ObjectID="_1780753257" r:id="rId81"/>
              </w:objec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подлежит определению и предоставлению КО в СО в соответствии с </w:t>
            </w:r>
            <w:r w:rsidRPr="0070181B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коммерческого учета электроэнергии и мощности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11 к </w:t>
            </w:r>
            <w:r w:rsidRPr="0070181B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70181B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  <w:p w14:paraId="08637A76" w14:textId="77777777" w:rsidR="00DC4326" w:rsidRPr="0070181B" w:rsidRDefault="00DC4326" w:rsidP="000F6C30">
            <w:pPr>
              <w:spacing w:before="120" w:after="120"/>
              <w:ind w:firstLine="612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случае если для генерирующего объекта, в отношении которого СО был определен предельный объем поставки мощности равным нулю, </w:t>
            </w:r>
            <w:r w:rsidRPr="0070181B">
              <w:rPr>
                <w:rFonts w:ascii="Garamond" w:hAnsi="Garamond"/>
                <w:sz w:val="22"/>
                <w:szCs w:val="22"/>
              </w:rPr>
              <w:lastRenderedPageBreak/>
              <w:t xml:space="preserve">начиная с некоторого месяца поставки мощности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одновременно выполняются следующие условия:</w:t>
            </w:r>
          </w:p>
          <w:p w14:paraId="6B5DC905" w14:textId="77777777" w:rsidR="00DC4326" w:rsidRPr="0070181B" w:rsidRDefault="00DC4326" w:rsidP="000F6C30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максимальная часовая величина выработки электроэнергии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700" w:dyaOrig="400" w14:anchorId="5DD5B3F0">
                <v:shape id="_x0000_i1375" type="#_x0000_t75" style="width:35.45pt;height:19.65pt" o:ole="">
                  <v:imagedata r:id="rId49" o:title=""/>
                </v:shape>
                <o:OLEObject Type="Embed" ProgID="Equation.3" ShapeID="_x0000_i1375" DrawAspect="Content" ObjectID="_1780753258" r:id="rId82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хотя бы в одном месяце периода, начинающегося с месяца (включительно), предшествующего месяцу, на который СО был определен предельный объем поставки мощности равным нулю и заканчивающегося месяцем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-1, достигла величины, равной произведению установленной мощности соответствующего генерирующего объекта и коэффициента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6A64F47F">
                <v:shape id="_x0000_i1376" type="#_x0000_t75" style="width:41.45pt;height:19.65pt" o:ole="">
                  <v:imagedata r:id="rId45" o:title=""/>
                </v:shape>
                <o:OLEObject Type="Embed" ProgID="Equation.3" ShapeID="_x0000_i1376" DrawAspect="Content" ObjectID="_1780753259" r:id="rId83"/>
              </w:object>
            </w:r>
            <w:r w:rsidRPr="0070181B">
              <w:rPr>
                <w:rFonts w:ascii="Garamond" w:hAnsi="Garamond"/>
                <w:sz w:val="22"/>
                <w:szCs w:val="22"/>
              </w:rPr>
              <w:t>;</w:t>
            </w:r>
          </w:p>
          <w:p w14:paraId="07F5C1F3" w14:textId="77777777" w:rsidR="00DC4326" w:rsidRPr="0070181B" w:rsidRDefault="00DC4326" w:rsidP="000F6C30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в СО представлен </w:t>
            </w:r>
            <w:r w:rsidRPr="0070181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Акт об общесистемных технических параметрах и характеристиках генерирующего оборудования,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оформленный по результатам проведения комплексных испытаний генерирующего оборудования и утвержденный в соответствии с Правилами проведения испытаний,</w:t>
            </w:r>
          </w:p>
          <w:p w14:paraId="7A1E47F0" w14:textId="77777777" w:rsidR="00DC4326" w:rsidRPr="0070181B" w:rsidRDefault="00DC4326" w:rsidP="000F6C3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0181B">
              <w:rPr>
                <w:rFonts w:ascii="Garamond" w:hAnsi="Garamond"/>
                <w:sz w:val="22"/>
                <w:szCs w:val="22"/>
              </w:rPr>
              <w:t xml:space="preserve">то начиная с месяца поставки мощности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0181B">
              <w:rPr>
                <w:rFonts w:ascii="Garamond" w:hAnsi="Garamond"/>
                <w:i/>
                <w:sz w:val="22"/>
                <w:szCs w:val="22"/>
              </w:rPr>
              <w:t>+1</w:t>
            </w:r>
            <w:r w:rsidRPr="0070181B">
              <w:rPr>
                <w:rFonts w:ascii="Garamond" w:hAnsi="Garamond"/>
                <w:sz w:val="22"/>
                <w:szCs w:val="22"/>
              </w:rPr>
              <w:t xml:space="preserve"> предельный объем поставки мощности такого генерирующего объекта определяется на основании ранее представленных данных равным:</w:t>
            </w:r>
          </w:p>
          <w:p w14:paraId="76BAB905" w14:textId="77777777" w:rsidR="00DC4326" w:rsidRPr="0070181B" w:rsidRDefault="0070181B" w:rsidP="000F6C30">
            <w:pPr>
              <w:widowControl w:val="0"/>
              <w:tabs>
                <w:tab w:val="left" w:pos="912"/>
                <w:tab w:val="left" w:pos="1332"/>
              </w:tabs>
              <w:spacing w:before="120" w:after="120"/>
              <w:jc w:val="center"/>
              <w:rPr>
                <w:rFonts w:ascii="Garamond" w:hAnsi="Garamond" w:cs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j,m,ПО</m:t>
                  </m:r>
                </m:sub>
              </m:sSub>
              <m:r>
                <w:rPr>
                  <w:rFonts w:ascii="Cambria Math" w:eastAsia="Batang" w:hAnsi="Cambria Math"/>
                  <w:sz w:val="22"/>
                  <w:szCs w:val="22"/>
                </w:rPr>
                <m:t>=</m:t>
              </m:r>
              <m:r>
                <w:rPr>
                  <w:rFonts w:ascii="Cambria Math" w:eastAsia="Batang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ТУ_ВИЭ</m:t>
                      </m:r>
                    </m:sub>
                  </m:sSub>
                  <m:r>
                    <w:rPr>
                      <w:rFonts w:ascii="Cambria Math" w:eastAsia="Batang" w:hAnsi="Cambria Math"/>
                      <w:sz w:val="22"/>
                      <w:szCs w:val="22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r>
                        <w:rPr>
                          <w:rFonts w:ascii="Cambria Math" w:eastAsia="Batang" w:hAnsi="Cambria Math"/>
                          <w:sz w:val="22"/>
                          <w:szCs w:val="22"/>
                        </w:rPr>
                        <m:t>,уст_ВИЭ</m:t>
                      </m:r>
                    </m:sub>
                  </m:sSub>
                </m:e>
              </m:d>
            </m:oMath>
            <w:r w:rsidR="00DC4326" w:rsidRPr="0070181B">
              <w:rPr>
                <w:rFonts w:ascii="Garamond" w:hAnsi="Garamond" w:cs="Garamond"/>
                <w:sz w:val="22"/>
                <w:szCs w:val="22"/>
              </w:rPr>
              <w:t>.</w:t>
            </w:r>
          </w:p>
          <w:p w14:paraId="7458F850" w14:textId="77777777" w:rsidR="00DC4326" w:rsidRPr="0070181B" w:rsidRDefault="00DC4326" w:rsidP="000F6C30">
            <w:pPr>
              <w:spacing w:before="120" w:after="120"/>
              <w:ind w:firstLine="567"/>
              <w:jc w:val="both"/>
              <w:outlineLvl w:val="2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Информация о максимальной часовой величине выработки электроэнергии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00" w:dyaOrig="400" w14:anchorId="3E04A512">
                <v:shape id="_x0000_i1377" type="#_x0000_t75" style="width:35.45pt;height:19.65pt" o:ole="">
                  <v:imagedata r:id="rId52" o:title=""/>
                </v:shape>
                <o:OLEObject Type="Embed" ProgID="Equation.3" ShapeID="_x0000_i1377" DrawAspect="Content" ObjectID="_1780753260" r:id="rId84"/>
              </w:objec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объектом генерации ВИЭ предоставляется КО в СО ежемесячно </w:t>
            </w:r>
            <w:r w:rsidRPr="0070181B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не позднее 2 (двух) рабочих дней до окончания месяца 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 w:cs="Garamond"/>
                <w:i/>
                <w:sz w:val="22"/>
                <w:szCs w:val="22"/>
                <w:lang w:eastAsia="en-US"/>
              </w:rPr>
              <w:t>+</w:t>
            </w:r>
            <w:r w:rsidRPr="0070181B">
              <w:rPr>
                <w:rFonts w:ascii="Garamond" w:hAnsi="Garamond" w:cs="Garamond"/>
                <w:sz w:val="22"/>
                <w:szCs w:val="22"/>
                <w:lang w:eastAsia="en-US"/>
              </w:rPr>
              <w:t>1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. Максимальная часовая величина выработки электроэнергии в месяце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70181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00" w:dyaOrig="400" w14:anchorId="533D83D2">
                <v:shape id="_x0000_i1378" type="#_x0000_t75" style="width:35.45pt;height:19.65pt" o:ole="">
                  <v:imagedata r:id="rId54" o:title=""/>
                </v:shape>
                <o:OLEObject Type="Embed" ProgID="Equation.3" ShapeID="_x0000_i1378" DrawAspect="Content" ObjectID="_1780753261" r:id="rId85"/>
              </w:objec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определяется КО как максимальный объем выработки электрической энергии за час в месяце поставки мощности </w:t>
            </w:r>
            <w:r w:rsidRPr="0070181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70181B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</w:tbl>
    <w:p w14:paraId="3869B1EF" w14:textId="77777777" w:rsidR="00DC4326" w:rsidRDefault="00DC4326" w:rsidP="00DC4326">
      <w:pPr>
        <w:pStyle w:val="a3"/>
        <w:spacing w:before="0"/>
        <w:jc w:val="both"/>
        <w:rPr>
          <w:rFonts w:cs="Garamond"/>
          <w:sz w:val="24"/>
        </w:rPr>
      </w:pPr>
    </w:p>
    <w:p w14:paraId="49DBFF61" w14:textId="77777777" w:rsidR="00DC4326" w:rsidRDefault="00DC4326" w:rsidP="00DC4326">
      <w:pPr>
        <w:pStyle w:val="a3"/>
        <w:spacing w:before="0"/>
        <w:jc w:val="both"/>
        <w:rPr>
          <w:rFonts w:cs="Garamond"/>
          <w:sz w:val="24"/>
        </w:rPr>
      </w:pPr>
    </w:p>
    <w:p w14:paraId="17E1191D" w14:textId="77777777" w:rsidR="00C64E7D" w:rsidRDefault="00C64E7D"/>
    <w:sectPr w:rsidR="00C64E7D" w:rsidSect="000F6C30">
      <w:footerReference w:type="default" r:id="rId86"/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3952B" w14:textId="77777777" w:rsidR="00C502DA" w:rsidRDefault="00C502DA" w:rsidP="009C140C">
      <w:r>
        <w:separator/>
      </w:r>
    </w:p>
  </w:endnote>
  <w:endnote w:type="continuationSeparator" w:id="0">
    <w:p w14:paraId="232FB867" w14:textId="77777777" w:rsidR="00C502DA" w:rsidRDefault="00C502DA" w:rsidP="009C1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297901"/>
      <w:docPartObj>
        <w:docPartGallery w:val="Page Numbers (Bottom of Page)"/>
        <w:docPartUnique/>
      </w:docPartObj>
    </w:sdtPr>
    <w:sdtEndPr/>
    <w:sdtContent>
      <w:p w14:paraId="68D66B05" w14:textId="6376D092" w:rsidR="009C140C" w:rsidRDefault="009C140C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81B">
          <w:rPr>
            <w:noProof/>
          </w:rPr>
          <w:t>11</w:t>
        </w:r>
        <w:r>
          <w:fldChar w:fldCharType="end"/>
        </w:r>
      </w:p>
    </w:sdtContent>
  </w:sdt>
  <w:p w14:paraId="04D484B9" w14:textId="77777777" w:rsidR="009C140C" w:rsidRDefault="009C140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500E" w14:textId="77777777" w:rsidR="00C502DA" w:rsidRDefault="00C502DA" w:rsidP="009C140C">
      <w:r>
        <w:separator/>
      </w:r>
    </w:p>
  </w:footnote>
  <w:footnote w:type="continuationSeparator" w:id="0">
    <w:p w14:paraId="262F49E5" w14:textId="77777777" w:rsidR="00C502DA" w:rsidRDefault="00C502DA" w:rsidP="009C1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B54F0"/>
    <w:multiLevelType w:val="hybridMultilevel"/>
    <w:tmpl w:val="8DC686C0"/>
    <w:lvl w:ilvl="0" w:tplc="943C63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6306DB1"/>
    <w:multiLevelType w:val="multilevel"/>
    <w:tmpl w:val="E400522A"/>
    <w:lvl w:ilvl="0">
      <w:start w:val="6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8" w:hanging="52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" w15:restartNumberingAfterBreak="0">
    <w:nsid w:val="195C0196"/>
    <w:multiLevelType w:val="hybridMultilevel"/>
    <w:tmpl w:val="F0B4BC40"/>
    <w:lvl w:ilvl="0" w:tplc="04190005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" w15:restartNumberingAfterBreak="0">
    <w:nsid w:val="20B57BF5"/>
    <w:multiLevelType w:val="hybridMultilevel"/>
    <w:tmpl w:val="6194E934"/>
    <w:lvl w:ilvl="0" w:tplc="C3A08ACE">
      <w:start w:val="1"/>
      <w:numFmt w:val="bullet"/>
      <w:pStyle w:val="4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2F0E566B"/>
    <w:multiLevelType w:val="hybridMultilevel"/>
    <w:tmpl w:val="704A4A4E"/>
    <w:lvl w:ilvl="0" w:tplc="943C63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A05A0"/>
    <w:multiLevelType w:val="hybridMultilevel"/>
    <w:tmpl w:val="63D44D00"/>
    <w:lvl w:ilvl="0" w:tplc="FFFFFFFF">
      <w:start w:val="1"/>
      <w:numFmt w:val="decimal"/>
      <w:lvlText w:val="6.8.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C37D6"/>
    <w:multiLevelType w:val="hybridMultilevel"/>
    <w:tmpl w:val="63D44D00"/>
    <w:lvl w:ilvl="0" w:tplc="9B56B56C">
      <w:start w:val="1"/>
      <w:numFmt w:val="decimal"/>
      <w:lvlText w:val="6.8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C66B0"/>
    <w:multiLevelType w:val="hybridMultilevel"/>
    <w:tmpl w:val="053404C4"/>
    <w:lvl w:ilvl="0" w:tplc="943C63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D45E69"/>
    <w:multiLevelType w:val="hybridMultilevel"/>
    <w:tmpl w:val="43CC79BA"/>
    <w:lvl w:ilvl="0" w:tplc="943C63B0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9" w15:restartNumberingAfterBreak="0">
    <w:nsid w:val="6594388E"/>
    <w:multiLevelType w:val="hybridMultilevel"/>
    <w:tmpl w:val="E16EB966"/>
    <w:lvl w:ilvl="0" w:tplc="0419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0" w15:restartNumberingAfterBreak="0">
    <w:nsid w:val="676C7A56"/>
    <w:multiLevelType w:val="hybridMultilevel"/>
    <w:tmpl w:val="E7D44988"/>
    <w:lvl w:ilvl="0" w:tplc="161EDA72">
      <w:start w:val="1"/>
      <w:numFmt w:val="decimal"/>
      <w:lvlText w:val="6.8.4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85E65"/>
    <w:multiLevelType w:val="multilevel"/>
    <w:tmpl w:val="6106906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CAE2732"/>
    <w:multiLevelType w:val="hybridMultilevel"/>
    <w:tmpl w:val="D6D66972"/>
    <w:lvl w:ilvl="0" w:tplc="0419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3" w15:restartNumberingAfterBreak="0">
    <w:nsid w:val="758D6D29"/>
    <w:multiLevelType w:val="multilevel"/>
    <w:tmpl w:val="BAC22D22"/>
    <w:lvl w:ilvl="0">
      <w:start w:val="7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4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4" w15:restartNumberingAfterBreak="0">
    <w:nsid w:val="77455F51"/>
    <w:multiLevelType w:val="hybridMultilevel"/>
    <w:tmpl w:val="06AC5B3E"/>
    <w:lvl w:ilvl="0" w:tplc="EDC2D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0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4"/>
  </w:num>
  <w:num w:numId="9">
    <w:abstractNumId w:val="4"/>
  </w:num>
  <w:num w:numId="10">
    <w:abstractNumId w:val="13"/>
  </w:num>
  <w:num w:numId="11">
    <w:abstractNumId w:val="2"/>
  </w:num>
  <w:num w:numId="12">
    <w:abstractNumId w:val="9"/>
  </w:num>
  <w:num w:numId="13">
    <w:abstractNumId w:val="12"/>
  </w:num>
  <w:num w:numId="14">
    <w:abstractNumId w:val="7"/>
  </w:num>
  <w:num w:numId="15">
    <w:abstractNumId w:val="8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326"/>
    <w:rsid w:val="000B546E"/>
    <w:rsid w:val="000F6C30"/>
    <w:rsid w:val="001A7438"/>
    <w:rsid w:val="00225506"/>
    <w:rsid w:val="00253E25"/>
    <w:rsid w:val="002B2820"/>
    <w:rsid w:val="002E3EBB"/>
    <w:rsid w:val="00322B47"/>
    <w:rsid w:val="003318C9"/>
    <w:rsid w:val="00414585"/>
    <w:rsid w:val="00424196"/>
    <w:rsid w:val="00430673"/>
    <w:rsid w:val="00446155"/>
    <w:rsid w:val="0045708A"/>
    <w:rsid w:val="004949BA"/>
    <w:rsid w:val="004A029B"/>
    <w:rsid w:val="005C3FA5"/>
    <w:rsid w:val="006244C1"/>
    <w:rsid w:val="00626476"/>
    <w:rsid w:val="00645643"/>
    <w:rsid w:val="00663C4C"/>
    <w:rsid w:val="00680C9A"/>
    <w:rsid w:val="006F1175"/>
    <w:rsid w:val="0070181B"/>
    <w:rsid w:val="00763127"/>
    <w:rsid w:val="007A5CB6"/>
    <w:rsid w:val="00845ECC"/>
    <w:rsid w:val="008E1E41"/>
    <w:rsid w:val="008F43BE"/>
    <w:rsid w:val="009B382E"/>
    <w:rsid w:val="009C140C"/>
    <w:rsid w:val="00A93BA3"/>
    <w:rsid w:val="00B81999"/>
    <w:rsid w:val="00B83E30"/>
    <w:rsid w:val="00B840EA"/>
    <w:rsid w:val="00B87809"/>
    <w:rsid w:val="00B940C5"/>
    <w:rsid w:val="00C502DA"/>
    <w:rsid w:val="00C64E7D"/>
    <w:rsid w:val="00C70240"/>
    <w:rsid w:val="00CD3311"/>
    <w:rsid w:val="00CE5886"/>
    <w:rsid w:val="00D957C6"/>
    <w:rsid w:val="00DC4326"/>
    <w:rsid w:val="00E16ECD"/>
    <w:rsid w:val="00EC4980"/>
    <w:rsid w:val="00F2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,"/>
  <w:listSeparator w:val=";"/>
  <w14:docId w14:val="627DDA43"/>
  <w15:chartTrackingRefBased/>
  <w15:docId w15:val="{C179C5F3-044C-4459-BDB4-B0E428E6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3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autoRedefine/>
    <w:qFormat/>
    <w:rsid w:val="00424196"/>
    <w:pPr>
      <w:keepNext/>
      <w:pageBreakBefore/>
      <w:numPr>
        <w:numId w:val="2"/>
      </w:numPr>
      <w:spacing w:before="240" w:after="240" w:line="360" w:lineRule="auto"/>
      <w:jc w:val="center"/>
      <w:outlineLvl w:val="0"/>
    </w:pPr>
    <w:rPr>
      <w:rFonts w:ascii="Garamond" w:hAnsi="Garamond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196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3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424196"/>
    <w:rPr>
      <w:rFonts w:ascii="Garamond" w:eastAsia="Times New Roman" w:hAnsi="Garamond" w:cs="Times New Roman"/>
      <w:b/>
      <w:kern w:val="28"/>
      <w:sz w:val="28"/>
      <w:szCs w:val="2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4241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nsPlusNormal">
    <w:name w:val="ConsPlusNormal"/>
    <w:rsid w:val="00DC4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3">
    <w:name w:val="Title"/>
    <w:basedOn w:val="a"/>
    <w:link w:val="a4"/>
    <w:qFormat/>
    <w:rsid w:val="00DC4326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4">
    <w:name w:val="Заголовок Знак"/>
    <w:basedOn w:val="a0"/>
    <w:link w:val="a3"/>
    <w:rsid w:val="00DC4326"/>
    <w:rPr>
      <w:rFonts w:ascii="Garamond" w:eastAsia="Times New Roman" w:hAnsi="Garamond" w:cs="Times New Roman"/>
      <w:b/>
      <w:bCs/>
      <w:kern w:val="0"/>
      <w:sz w:val="32"/>
      <w:szCs w:val="24"/>
      <w:lang w:eastAsia="ru-RU"/>
      <w14:ligatures w14:val="none"/>
    </w:rPr>
  </w:style>
  <w:style w:type="paragraph" w:styleId="a5">
    <w:name w:val="List Paragraph"/>
    <w:basedOn w:val="a"/>
    <w:link w:val="a6"/>
    <w:uiPriority w:val="99"/>
    <w:qFormat/>
    <w:rsid w:val="00DC4326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DC432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DC432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styleId="4">
    <w:name w:val="List Number 4"/>
    <w:basedOn w:val="a"/>
    <w:rsid w:val="00DC4326"/>
    <w:pPr>
      <w:numPr>
        <w:numId w:val="4"/>
      </w:numPr>
      <w:tabs>
        <w:tab w:val="num" w:pos="1209"/>
      </w:tabs>
      <w:spacing w:line="360" w:lineRule="auto"/>
      <w:ind w:left="1209"/>
    </w:pPr>
    <w:rPr>
      <w:rFonts w:ascii="Garamond" w:hAnsi="Garamond"/>
      <w:sz w:val="22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7A5CB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5CB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5CB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5CB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5CB6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c">
    <w:name w:val="Balloon Text"/>
    <w:basedOn w:val="a"/>
    <w:link w:val="ad"/>
    <w:uiPriority w:val="99"/>
    <w:semiHidden/>
    <w:unhideWhenUsed/>
    <w:rsid w:val="008F43B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F43B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e">
    <w:name w:val="Revision"/>
    <w:hidden/>
    <w:uiPriority w:val="99"/>
    <w:semiHidden/>
    <w:rsid w:val="00CD331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header"/>
    <w:basedOn w:val="a"/>
    <w:link w:val="af0"/>
    <w:uiPriority w:val="99"/>
    <w:unhideWhenUsed/>
    <w:rsid w:val="009C140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140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9C140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140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5.bin"/><Relationship Id="rId63" Type="http://schemas.openxmlformats.org/officeDocument/2006/relationships/oleObject" Target="embeddings/oleObject38.bin"/><Relationship Id="rId68" Type="http://schemas.openxmlformats.org/officeDocument/2006/relationships/oleObject" Target="embeddings/oleObject42.bin"/><Relationship Id="rId84" Type="http://schemas.openxmlformats.org/officeDocument/2006/relationships/oleObject" Target="embeddings/oleObject58.bin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8.bin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3.bin"/><Relationship Id="rId74" Type="http://schemas.openxmlformats.org/officeDocument/2006/relationships/oleObject" Target="embeddings/oleObject48.bin"/><Relationship Id="rId79" Type="http://schemas.openxmlformats.org/officeDocument/2006/relationships/oleObject" Target="embeddings/oleObject53.bin"/><Relationship Id="rId5" Type="http://schemas.openxmlformats.org/officeDocument/2006/relationships/webSettings" Target="webSettings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0.wmf"/><Relationship Id="rId35" Type="http://schemas.openxmlformats.org/officeDocument/2006/relationships/image" Target="media/image12.wmf"/><Relationship Id="rId43" Type="http://schemas.openxmlformats.org/officeDocument/2006/relationships/image" Target="media/image14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1.bin"/><Relationship Id="rId64" Type="http://schemas.openxmlformats.org/officeDocument/2006/relationships/oleObject" Target="embeddings/oleObject39.bin"/><Relationship Id="rId69" Type="http://schemas.openxmlformats.org/officeDocument/2006/relationships/oleObject" Target="embeddings/oleObject43.bin"/><Relationship Id="rId77" Type="http://schemas.openxmlformats.org/officeDocument/2006/relationships/oleObject" Target="embeddings/oleObject51.bin"/><Relationship Id="rId8" Type="http://schemas.openxmlformats.org/officeDocument/2006/relationships/image" Target="media/image1.wmf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46.bin"/><Relationship Id="rId80" Type="http://schemas.openxmlformats.org/officeDocument/2006/relationships/oleObject" Target="embeddings/oleObject54.bin"/><Relationship Id="rId85" Type="http://schemas.openxmlformats.org/officeDocument/2006/relationships/oleObject" Target="embeddings/oleObject5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4.bin"/><Relationship Id="rId67" Type="http://schemas.openxmlformats.org/officeDocument/2006/relationships/oleObject" Target="embeddings/oleObject41.bin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54" Type="http://schemas.openxmlformats.org/officeDocument/2006/relationships/image" Target="media/image18.wmf"/><Relationship Id="rId62" Type="http://schemas.openxmlformats.org/officeDocument/2006/relationships/oleObject" Target="embeddings/oleObject37.bin"/><Relationship Id="rId70" Type="http://schemas.openxmlformats.org/officeDocument/2006/relationships/oleObject" Target="embeddings/oleObject44.bin"/><Relationship Id="rId75" Type="http://schemas.openxmlformats.org/officeDocument/2006/relationships/oleObject" Target="embeddings/oleObject49.bin"/><Relationship Id="rId83" Type="http://schemas.openxmlformats.org/officeDocument/2006/relationships/oleObject" Target="embeddings/oleObject57.bin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image" Target="media/image16.wmf"/><Relationship Id="rId57" Type="http://schemas.openxmlformats.org/officeDocument/2006/relationships/oleObject" Target="embeddings/oleObject3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3.bin"/><Relationship Id="rId52" Type="http://schemas.openxmlformats.org/officeDocument/2006/relationships/image" Target="media/image17.wmf"/><Relationship Id="rId60" Type="http://schemas.openxmlformats.org/officeDocument/2006/relationships/oleObject" Target="embeddings/oleObject35.bin"/><Relationship Id="rId65" Type="http://schemas.openxmlformats.org/officeDocument/2006/relationships/oleObject" Target="embeddings/oleObject40.bin"/><Relationship Id="rId73" Type="http://schemas.openxmlformats.org/officeDocument/2006/relationships/oleObject" Target="embeddings/oleObject47.bin"/><Relationship Id="rId78" Type="http://schemas.openxmlformats.org/officeDocument/2006/relationships/oleObject" Target="embeddings/oleObject52.bin"/><Relationship Id="rId81" Type="http://schemas.openxmlformats.org/officeDocument/2006/relationships/oleObject" Target="embeddings/oleObject55.bin"/><Relationship Id="rId86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50.bin"/><Relationship Id="rId7" Type="http://schemas.openxmlformats.org/officeDocument/2006/relationships/endnotes" Target="endnotes.xml"/><Relationship Id="rId71" Type="http://schemas.openxmlformats.org/officeDocument/2006/relationships/oleObject" Target="embeddings/oleObject45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image" Target="media/image13.wmf"/><Relationship Id="rId45" Type="http://schemas.openxmlformats.org/officeDocument/2006/relationships/image" Target="media/image15.wmf"/><Relationship Id="rId66" Type="http://schemas.openxmlformats.org/officeDocument/2006/relationships/image" Target="media/image19.wmf"/><Relationship Id="rId87" Type="http://schemas.openxmlformats.org/officeDocument/2006/relationships/fontTable" Target="fontTable.xml"/><Relationship Id="rId61" Type="http://schemas.openxmlformats.org/officeDocument/2006/relationships/oleObject" Target="embeddings/oleObject36.bin"/><Relationship Id="rId82" Type="http://schemas.openxmlformats.org/officeDocument/2006/relationships/oleObject" Target="embeddings/oleObject5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D780F-02DC-4FDD-85C8-EDBFFFEF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5312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Гирина Марина Владимировна</cp:lastModifiedBy>
  <cp:revision>10</cp:revision>
  <dcterms:created xsi:type="dcterms:W3CDTF">2024-06-21T07:45:00Z</dcterms:created>
  <dcterms:modified xsi:type="dcterms:W3CDTF">2024-06-24T10:20:00Z</dcterms:modified>
</cp:coreProperties>
</file>