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35C9F" w14:textId="5917A67C" w:rsidR="00E06378" w:rsidRPr="00E06378" w:rsidRDefault="00E06378" w:rsidP="00E06378">
      <w:pPr>
        <w:spacing w:line="252" w:lineRule="auto"/>
        <w:ind w:left="57"/>
        <w:contextualSpacing/>
        <w:jc w:val="right"/>
        <w:rPr>
          <w:rFonts w:eastAsia="Calibri"/>
        </w:rPr>
      </w:pPr>
      <w:r w:rsidRPr="00E06378">
        <w:rPr>
          <w:rFonts w:eastAsia="Calibri"/>
          <w:caps/>
        </w:rPr>
        <w:t>Приложение</w:t>
      </w:r>
      <w:r w:rsidRPr="00E06378">
        <w:rPr>
          <w:rFonts w:eastAsia="Calibri"/>
        </w:rPr>
        <w:t xml:space="preserve"> № 1.</w:t>
      </w:r>
      <w:r w:rsidR="009F39D2">
        <w:rPr>
          <w:rFonts w:eastAsia="Calibri"/>
        </w:rPr>
        <w:t>8</w:t>
      </w:r>
    </w:p>
    <w:p w14:paraId="53F52344" w14:textId="77777777" w:rsidR="00E06378" w:rsidRPr="00E06378" w:rsidRDefault="00E06378" w:rsidP="00E06378">
      <w:pPr>
        <w:spacing w:line="252" w:lineRule="auto"/>
        <w:ind w:left="57"/>
        <w:contextualSpacing/>
        <w:jc w:val="right"/>
        <w:rPr>
          <w:rFonts w:eastAsia="Calibri"/>
        </w:rPr>
      </w:pPr>
      <w:r w:rsidRPr="00E06378">
        <w:rPr>
          <w:rFonts w:eastAsia="Calibri"/>
        </w:rPr>
        <w:t>к Протоколу № 12/2023 заочного голосования Наблюдательного совета</w:t>
      </w:r>
    </w:p>
    <w:p w14:paraId="7E56C9EE" w14:textId="77777777" w:rsidR="00E06378" w:rsidRPr="00E06378" w:rsidRDefault="00E06378" w:rsidP="00E06378">
      <w:pPr>
        <w:widowControl w:val="0"/>
        <w:jc w:val="right"/>
        <w:rPr>
          <w:rFonts w:eastAsia="Calibri"/>
        </w:rPr>
      </w:pPr>
      <w:r w:rsidRPr="00E06378">
        <w:rPr>
          <w:rFonts w:eastAsia="Calibri"/>
        </w:rPr>
        <w:t>Ассоциации «НП Совет рынка» от 23 августа 2023 года.</w:t>
      </w:r>
    </w:p>
    <w:p w14:paraId="4B628385" w14:textId="77777777" w:rsidR="00E06378" w:rsidRPr="00E06378" w:rsidRDefault="00E06378" w:rsidP="003F2DBF">
      <w:pPr>
        <w:widowControl w:val="0"/>
        <w:rPr>
          <w:rFonts w:ascii="Garamond" w:hAnsi="Garamond"/>
          <w:b/>
          <w:sz w:val="28"/>
          <w:szCs w:val="28"/>
        </w:rPr>
      </w:pPr>
    </w:p>
    <w:p w14:paraId="01B327DD" w14:textId="2BF75AC8" w:rsidR="00096F3E" w:rsidRDefault="00AE4EB4" w:rsidP="003F2DBF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AE4EB4">
        <w:rPr>
          <w:rFonts w:ascii="Garamond" w:hAnsi="Garamond"/>
          <w:b/>
          <w:sz w:val="28"/>
          <w:szCs w:val="28"/>
        </w:rPr>
        <w:t xml:space="preserve">.2. </w:t>
      </w:r>
      <w:r w:rsidR="003F2DBF">
        <w:rPr>
          <w:rFonts w:ascii="Garamond" w:hAnsi="Garamond"/>
          <w:b/>
          <w:sz w:val="28"/>
          <w:szCs w:val="28"/>
        </w:rPr>
        <w:t>Изменения,</w:t>
      </w:r>
      <w:r w:rsidR="00F75EF8" w:rsidRPr="00F75EF8">
        <w:rPr>
          <w:rFonts w:ascii="Garamond" w:hAnsi="Garamond"/>
          <w:b/>
          <w:sz w:val="28"/>
          <w:szCs w:val="28"/>
        </w:rPr>
        <w:t xml:space="preserve"> связанны</w:t>
      </w:r>
      <w:r w:rsidR="00F75EF8">
        <w:rPr>
          <w:rFonts w:ascii="Garamond" w:hAnsi="Garamond"/>
          <w:b/>
          <w:sz w:val="28"/>
          <w:szCs w:val="28"/>
        </w:rPr>
        <w:t>е</w:t>
      </w:r>
      <w:r w:rsidR="00F75EF8" w:rsidRPr="00F75EF8">
        <w:rPr>
          <w:rFonts w:ascii="Garamond" w:hAnsi="Garamond"/>
          <w:b/>
          <w:sz w:val="28"/>
          <w:szCs w:val="28"/>
        </w:rPr>
        <w:t xml:space="preserve"> с уточнением распределения величин отклонений по ГТП экспорта и ГТП импорта при возникновении в отдельных энергорайонах на территории России режима изолированной от ЕЭС России работы</w:t>
      </w:r>
    </w:p>
    <w:p w14:paraId="510CF87D" w14:textId="77777777" w:rsidR="009C7AC9" w:rsidRPr="005422F9" w:rsidRDefault="009C7AC9" w:rsidP="003F2DBF">
      <w:pPr>
        <w:widowControl w:val="0"/>
        <w:rPr>
          <w:rFonts w:ascii="Garamond" w:hAnsi="Garamond"/>
        </w:rPr>
      </w:pPr>
    </w:p>
    <w:p w14:paraId="79A5BDE2" w14:textId="62860837" w:rsidR="003F2DBF" w:rsidRPr="008A5E0A" w:rsidRDefault="001A280C" w:rsidP="009C7AC9">
      <w:pPr>
        <w:widowControl w:val="0"/>
        <w:ind w:right="-598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AE4EB4"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8A5E0A">
        <w:rPr>
          <w:rFonts w:ascii="Garamond" w:hAnsi="Garamond"/>
          <w:b/>
          <w:sz w:val="28"/>
          <w:szCs w:val="28"/>
        </w:rPr>
        <w:t>1.</w:t>
      </w:r>
      <w:r w:rsidR="009F39D2">
        <w:rPr>
          <w:rFonts w:ascii="Garamond" w:hAnsi="Garamond"/>
          <w:b/>
          <w:sz w:val="28"/>
          <w:szCs w:val="28"/>
        </w:rPr>
        <w:t>8</w:t>
      </w:r>
    </w:p>
    <w:p w14:paraId="66727C36" w14:textId="77777777" w:rsidR="00AA1EFE" w:rsidRPr="005422F9" w:rsidRDefault="00AA1EFE" w:rsidP="00AA1EFE">
      <w:pPr>
        <w:widowControl w:val="0"/>
        <w:jc w:val="right"/>
        <w:rPr>
          <w:rFonts w:ascii="Garamond" w:hAnsi="Garamond"/>
          <w:b/>
        </w:rPr>
      </w:pPr>
    </w:p>
    <w:tbl>
      <w:tblPr>
        <w:tblW w:w="15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0"/>
      </w:tblGrid>
      <w:tr w:rsidR="00AA1EFE" w:rsidRPr="002B5432" w14:paraId="6754F4F8" w14:textId="77777777" w:rsidTr="00245834">
        <w:trPr>
          <w:trHeight w:val="892"/>
        </w:trPr>
        <w:tc>
          <w:tcPr>
            <w:tcW w:w="15320" w:type="dxa"/>
          </w:tcPr>
          <w:p w14:paraId="51142039" w14:textId="5B093665" w:rsidR="00AA1EFE" w:rsidRPr="00372580" w:rsidRDefault="00AA1EFE" w:rsidP="004F43B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8"/>
              </w:rPr>
            </w:pPr>
            <w:r w:rsidRPr="007F1C92">
              <w:rPr>
                <w:rFonts w:ascii="Garamond" w:hAnsi="Garamond"/>
                <w:b/>
              </w:rPr>
              <w:t xml:space="preserve">Инициатор: </w:t>
            </w:r>
            <w:r w:rsidR="00287BF9">
              <w:rPr>
                <w:rFonts w:ascii="Garamond" w:hAnsi="Garamond"/>
                <w:szCs w:val="28"/>
              </w:rPr>
              <w:t>Ассоциация «НП Совет рынка»</w:t>
            </w:r>
            <w:r w:rsidR="00C17531">
              <w:rPr>
                <w:rFonts w:ascii="Garamond" w:hAnsi="Garamond"/>
                <w:szCs w:val="28"/>
              </w:rPr>
              <w:t>.</w:t>
            </w:r>
            <w:bookmarkStart w:id="0" w:name="_GoBack"/>
            <w:bookmarkEnd w:id="0"/>
          </w:p>
          <w:p w14:paraId="0C25072C" w14:textId="222F0156" w:rsidR="00287BF9" w:rsidRPr="005E789A" w:rsidRDefault="00AA1EFE" w:rsidP="00287BF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8"/>
              </w:rPr>
            </w:pPr>
            <w:r w:rsidRPr="007F1C92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7043B0" w:rsidRPr="007F1C9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2323A3">
              <w:rPr>
                <w:rFonts w:ascii="Garamond" w:hAnsi="Garamond" w:cs="Times New Roman"/>
                <w:sz w:val="24"/>
                <w:szCs w:val="28"/>
              </w:rPr>
              <w:t>т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>ребуется определить порядок распределения величин отклонений по сечениям экспорта-импорта, по которым осуществляется энергоснабжение энергорайонов на территориях Омской и Курганской областей, не имеющих электрических связей с ЕЭС России и работающих параллельно с зарубежной энергосистемой или ее частью, между соответствующими ГТП экспорта и ГТП импорта для случая, если плановые поставки запланированы в направлении экспорта.</w:t>
            </w:r>
          </w:p>
          <w:p w14:paraId="0390DC02" w14:textId="05347CE8" w:rsidR="00AA1EFE" w:rsidRPr="002B5432" w:rsidRDefault="00AA1EFE" w:rsidP="003D3890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</w:rPr>
            </w:pPr>
            <w:r w:rsidRPr="00AE005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7043B0">
              <w:rPr>
                <w:rFonts w:ascii="Garamond" w:hAnsi="Garamond"/>
                <w:b/>
              </w:rPr>
              <w:t xml:space="preserve"> 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>с 23 августа 2023 года и распространяют свое действие на отношения сторон по Договору о присоединении к торговой системе оптового рынка, возникшие с 1 июля 2023 года.</w:t>
            </w:r>
          </w:p>
        </w:tc>
      </w:tr>
    </w:tbl>
    <w:p w14:paraId="4146A96E" w14:textId="77777777" w:rsidR="00C10E7D" w:rsidRPr="005422F9" w:rsidRDefault="00C10E7D" w:rsidP="00C10E7D">
      <w:pPr>
        <w:rPr>
          <w:rFonts w:ascii="Garamond" w:eastAsia="Calibri" w:hAnsi="Garamond" w:cs="Garamond"/>
          <w:b/>
          <w:bCs/>
          <w:lang w:eastAsia="en-US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</w:p>
    <w:p w14:paraId="4EDECAE9" w14:textId="77777777" w:rsidR="00C10E7D" w:rsidRPr="00563E6D" w:rsidRDefault="00C10E7D" w:rsidP="002323A3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Предложения по изменениям и дополнениям в 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РЕГЛАМЕНТ </w:t>
      </w:r>
      <w:r w:rsidR="001A280C">
        <w:rPr>
          <w:rFonts w:ascii="Garamond" w:eastAsia="Calibri" w:hAnsi="Garamond"/>
          <w:b/>
          <w:sz w:val="26"/>
          <w:szCs w:val="26"/>
          <w:lang w:eastAsia="en-US"/>
        </w:rPr>
        <w:t>ОПРЕДЕЛЕНИЯ ОБЪЕМОВ, ИНИЦИАТИВ И СТОИМОСТИ ОТКЛОНЕНИЙ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 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(Приложение № </w:t>
      </w:r>
      <w:r w:rsidR="00A24169"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1</w:t>
      </w:r>
      <w:r w:rsidR="001A280C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2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541B2057" w14:textId="77777777" w:rsidR="00C10E7D" w:rsidRPr="005422F9" w:rsidRDefault="00C10E7D" w:rsidP="00C10E7D">
      <w:pPr>
        <w:rPr>
          <w:rFonts w:ascii="Garamond" w:eastAsia="Calibri" w:hAnsi="Garamond" w:cs="Garamond"/>
          <w:lang w:eastAsia="en-US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7229"/>
      </w:tblGrid>
      <w:tr w:rsidR="00C10E7D" w:rsidRPr="00E6508A" w14:paraId="300535E2" w14:textId="77777777" w:rsidTr="00202B1F">
        <w:trPr>
          <w:trHeight w:val="435"/>
        </w:trPr>
        <w:tc>
          <w:tcPr>
            <w:tcW w:w="993" w:type="dxa"/>
            <w:vAlign w:val="center"/>
          </w:tcPr>
          <w:p w14:paraId="2FB47F53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3A856533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7229" w:type="dxa"/>
            <w:vAlign w:val="center"/>
          </w:tcPr>
          <w:p w14:paraId="2A882B66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44F5A1AD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1E48377A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5384FDB0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287BF9" w:rsidRPr="00E6508A" w14:paraId="02621CF0" w14:textId="77777777" w:rsidTr="00202B1F">
        <w:trPr>
          <w:trHeight w:val="435"/>
        </w:trPr>
        <w:tc>
          <w:tcPr>
            <w:tcW w:w="993" w:type="dxa"/>
          </w:tcPr>
          <w:p w14:paraId="52F0FCFC" w14:textId="77777777" w:rsidR="00287BF9" w:rsidRPr="00E6508A" w:rsidRDefault="00311DCC" w:rsidP="009D1B5F">
            <w:pPr>
              <w:spacing w:before="120" w:after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2.4.7.3</w:t>
            </w:r>
          </w:p>
        </w:tc>
        <w:tc>
          <w:tcPr>
            <w:tcW w:w="7229" w:type="dxa"/>
          </w:tcPr>
          <w:p w14:paraId="0226403E" w14:textId="77777777" w:rsidR="00311DCC" w:rsidRPr="00311DCC" w:rsidRDefault="00311DCC" w:rsidP="00311DCC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>Особые случаи расчета</w:t>
            </w:r>
          </w:p>
          <w:p w14:paraId="107B4532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Для ГТП экспорта/импорта, отнесенных к особым сечениям, по которым осуществляется энергоснабжение энергорайона на территории Омской области или Курганской области, не имеющих электрических связей с ЕЭС России и работающих параллельно с зарубежной энергосистемой или ее частью, определенным в соответствии с пунктом 11.2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15 к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), расчет объемов и инициатив отклонений выполняется следующим образом.</w:t>
            </w:r>
          </w:p>
          <w:p w14:paraId="641A4B42" w14:textId="77777777" w:rsidR="00311DCC" w:rsidRPr="00311DCC" w:rsidRDefault="00311DCC" w:rsidP="00311DCC">
            <w:pPr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При планировании на сутки вперед особый режим поставки электроэнергии в отдельные энергорайоны на территории Курганской области и Омской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 xml:space="preserve">области регистрируется КО на основании пункта 11.2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15 к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).</w:t>
            </w:r>
          </w:p>
          <w:p w14:paraId="5FC60761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1. В случае если при планировании на сутки вперед был учтен </w:t>
            </w: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режим острова нагрузки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и от СО не получена информация о прекращении действия данного режима, расчет отклонений осуществляется в соответствии с пунктами 2.4.7.1 и 2.4.7.2 настоящего Регламента.</w:t>
            </w:r>
          </w:p>
          <w:p w14:paraId="4B15FD5D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2.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при планировании на сутки вперед был учтен </w:t>
            </w: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>режим острова нагрузки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, от СО получена информация о прекращения действия данного режима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следующим образом:</w:t>
            </w:r>
          </w:p>
          <w:p w14:paraId="25A5AC8F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FD9A045" w14:textId="77777777" w:rsidR="00311DCC" w:rsidRPr="00311DCC" w:rsidRDefault="00311DCC" w:rsidP="00311DC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3AE66B5B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3.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при планировании на сутки вперед был учтен изолированный режим,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, расчет отклонений осуществляется следующим образом:</w:t>
            </w:r>
          </w:p>
          <w:p w14:paraId="34B1584D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2955E70" w14:textId="77777777" w:rsidR="00311DCC" w:rsidRPr="00311DCC" w:rsidRDefault="00311DCC" w:rsidP="00311DC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0754A7B6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4.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В случае если при планировании на сутки вперед был учтен изолированный режим и от СО получена информация о возникновении режима острова нагрузки, расчет отклонений осуществляется в соответствии с пунктами 2.4.7.1 и 2.4.7.2 настоящего Регламента.</w:t>
            </w:r>
          </w:p>
          <w:p w14:paraId="55B2AD5C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5. В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определение объемов и инициатив отклонений в данных ГТП производится по общему порядку в соответствии с пунктами 2.4.1–2.4.5 настоящего Регламента.</w:t>
            </w:r>
          </w:p>
          <w:p w14:paraId="42B17DC2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6. В случае если при планировании на сутки вперед был учтен изолированный режим,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определение объемов и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>инициатив отклонений в данных ГТП производится по общему порядку в соответствии с пунктами 2.4.1–2.4.5 настоящего Регламента.</w:t>
            </w:r>
          </w:p>
          <w:p w14:paraId="2E32656D" w14:textId="77777777" w:rsidR="00311DCC" w:rsidRPr="00311DCC" w:rsidRDefault="00311DCC" w:rsidP="00311DC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7. В случае если при планировании на сутки вперед был учтен режим острова нагрузки, от СО получена информация о прекращения данного режима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в соответствии с пунктами 2.4.7.1 и 2.4.7.2 настоящего Регламента.</w:t>
            </w:r>
          </w:p>
          <w:p w14:paraId="5E69DA4B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8. В случае если при планировании на сутки вперед не был учтен изолированный режим, не был учтен режим острова нагрузки и от СО получена информация о возникновении режима острова нагрузки, расчет отклонений осуществляется в соответствии с пунктами 2.4.7.1 и 2.4.7.2 настоящего Регламента.</w:t>
            </w:r>
          </w:p>
          <w:p w14:paraId="1DE844F7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9. В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следующим образом:</w:t>
            </w:r>
          </w:p>
          <w:p w14:paraId="72AA89C6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3746D2A" w14:textId="77777777" w:rsidR="00311DCC" w:rsidRPr="00311DCC" w:rsidRDefault="00311DCC" w:rsidP="00311DCC">
            <w:pPr>
              <w:widowControl w:val="0"/>
              <w:spacing w:before="120" w:after="120"/>
              <w:ind w:left="709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748C9E06" w14:textId="77777777" w:rsidR="00311DCC" w:rsidRPr="00311DCC" w:rsidRDefault="00311DCC" w:rsidP="00311DCC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В случае если в отношении указанных ГТП определен объем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</m:oMath>
            <w:r w:rsidRPr="00311DCC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, Коммерческий оператор принимает объем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ИС</m:t>
                  </m:r>
                </m:sub>
              </m:sSub>
            </m:oMath>
            <w:r w:rsidRPr="00311DCC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 равным нулю.</w:t>
            </w:r>
          </w:p>
          <w:p w14:paraId="51974E1B" w14:textId="77777777" w:rsidR="00547344" w:rsidRPr="00547344" w:rsidRDefault="00547344" w:rsidP="00547344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14:paraId="349C3A73" w14:textId="77777777" w:rsidR="00311DCC" w:rsidRPr="00311DCC" w:rsidRDefault="00311DCC" w:rsidP="00311DCC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Особые случаи расчета</w:t>
            </w:r>
          </w:p>
          <w:p w14:paraId="687B230B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Для ГТП экспорта/импорта, отнесенных к особым сечениям, по которым осуществляется энергоснабжение энергорайона на территории Омской области или Курганской области, не имеющих электрических связей с ЕЭС России и работающих параллельно с зарубежной энергосистемой или ее частью, определенным в соответствии с пунктом 11.2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15 к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), расчет объемов и инициатив отклонений выполняется следующим образом.</w:t>
            </w:r>
          </w:p>
          <w:p w14:paraId="56FC51F5" w14:textId="77777777" w:rsidR="00311DCC" w:rsidRPr="00311DCC" w:rsidRDefault="00311DCC" w:rsidP="00311DCC">
            <w:pPr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При планировании на сутки вперед особый режим поставки электроэнергии в отдельные энергорайоны на территории Курганской области и Омской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 xml:space="preserve">области регистрируется КО на основании пункта 11.2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15 к </w:t>
            </w:r>
            <w:r w:rsidRPr="00311DCC"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).</w:t>
            </w:r>
          </w:p>
          <w:p w14:paraId="28E1129A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1. В случае если при планировании на сутки вперед был учтен </w:t>
            </w: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режим острова нагрузки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и от СО не получена информация о прекращении действия данного режима, расчет отклонений осуществляется в соответствии с пунктами 2.4.7.1 и 2.4.7.2 настоящего Регламента.</w:t>
            </w:r>
          </w:p>
          <w:p w14:paraId="5D935551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2.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при планировании на сутки вперед был учтен </w:t>
            </w: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>режим острова нагрузки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, от СО получена информация о прекращения действия данного режима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следующим образом:</w:t>
            </w:r>
          </w:p>
          <w:p w14:paraId="783CE72E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37DB8FC" w14:textId="77777777" w:rsidR="00311DCC" w:rsidRPr="00311DCC" w:rsidRDefault="00311DCC" w:rsidP="00311DC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192E7D55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3.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при планировании на сутки вперед был учтен изолированный режим,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, расчет отклонений осуществляется следующим образом:</w:t>
            </w:r>
          </w:p>
          <w:p w14:paraId="278ADAEE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4FDA704" w14:textId="77777777" w:rsidR="00311DCC" w:rsidRPr="00311DCC" w:rsidRDefault="00311DCC" w:rsidP="00311DC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61FD1406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4.</w:t>
            </w:r>
            <w:r w:rsidRPr="00311DCC">
              <w:rPr>
                <w:rFonts w:ascii="Garamond" w:hAnsi="Garamond"/>
                <w:b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В случае если при планировании на сутки вперед был учтен изолированный режим и от СО получена информация о возникновении режима острова нагрузки, расчет отклонений осуществляется в соответствии с пунктами 2.4.7.1 и 2.4.7.2 настоящего Регламента.</w:t>
            </w:r>
          </w:p>
          <w:p w14:paraId="44F626A3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5. В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определение объемов и инициатив отклонений в данных ГТП производится по общему порядку в соответствии с пунктами 2.4.1–2.4.5 настоящего Регламента.</w:t>
            </w:r>
          </w:p>
          <w:p w14:paraId="323509BE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6. В случае если при планировании на сутки вперед был учтен изолированный режим,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определение объемов и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>инициатив отклонений в данных ГТП производится по общему порядку в соответствии с пунктами 2.4.1–2.4.5 настоящего Регламента.</w:t>
            </w:r>
          </w:p>
          <w:p w14:paraId="37C37F49" w14:textId="77777777" w:rsidR="00311DCC" w:rsidRPr="00311DCC" w:rsidRDefault="00311DCC" w:rsidP="00311DC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7. В случае если при планировании на сутки вперед был учтен режим острова нагрузки, от СО получена информация о прекращения данного режима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&gt;0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в соответствии с пунктами 2.4.7.1 и 2.4.7.2 настоящего Регламента.</w:t>
            </w:r>
          </w:p>
          <w:p w14:paraId="61F6F560" w14:textId="77777777" w:rsidR="00311DCC" w:rsidRPr="00311DCC" w:rsidRDefault="00311DCC" w:rsidP="00311DC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8. В случае если при планировании на сутки вперед не был учтен изолированный режим, не был учтен режим острова нагрузки и от СО получена информация о возникновении режима острова нагрузки, расчет отклонений осуществляется в соответствии с пунктами 2.4.7.1 и 2.4.7.2 настоящего Регламента.</w:t>
            </w:r>
          </w:p>
          <w:p w14:paraId="5A304641" w14:textId="77777777" w:rsidR="005964A1" w:rsidRDefault="00311DCC" w:rsidP="005964A1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 xml:space="preserve">9. В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≤0</m:t>
              </m:r>
            </m:oMath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311DCC">
              <w:rPr>
                <w:rFonts w:ascii="Garamond" w:hAnsi="Garamond"/>
                <w:sz w:val="22"/>
                <w:szCs w:val="20"/>
                <w:lang w:eastAsia="en-US"/>
              </w:rPr>
              <w:t>расчет отклонений осуществляется следующим образом:</w:t>
            </w:r>
          </w:p>
          <w:p w14:paraId="0904186A" w14:textId="77777777" w:rsidR="005964A1" w:rsidRPr="006F462B" w:rsidRDefault="005964A1" w:rsidP="005964A1">
            <w:pPr>
              <w:pStyle w:val="a4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F462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если </w:t>
            </w:r>
            <m:oMath>
              <m:r>
                <w:rPr>
                  <w:rFonts w:ascii="Cambria Math" w:hAnsi="Cambria Math"/>
                  <w:szCs w:val="22"/>
                  <w:highlight w:val="yellow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план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b>
              </m:sSub>
              <m:r>
                <w:rPr>
                  <w:rFonts w:ascii="Cambria Math" w:hAnsi="Cambria Math"/>
                  <w:szCs w:val="22"/>
                  <w:highlight w:val="yellow"/>
                </w:rPr>
                <m:t>&gt;0</m:t>
              </m:r>
            </m:oMath>
            <w:r w:rsidR="006F462B" w:rsidRPr="006F462B">
              <w:rPr>
                <w:rFonts w:ascii="Garamond" w:hAnsi="Garamond"/>
                <w:szCs w:val="22"/>
                <w:highlight w:val="yellow"/>
              </w:rPr>
              <w:t>, то:</w:t>
            </w:r>
          </w:p>
          <w:p w14:paraId="7D294417" w14:textId="77777777" w:rsidR="00311DCC" w:rsidRPr="00311DCC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ГТП </w:t>
            </w:r>
            <w:r w:rsidRPr="006F462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экспорта</w:t>
            </w:r>
            <w:r w:rsidRPr="00311DC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  <w:lang w:eastAsia="en-US"/>
                        </w:rPr>
                        <m:t>-min</m:t>
                      </m:r>
                    </m:e>
                    <m:lim/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  <w:lang w:val="en-GB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сеч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план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_</m:t>
                      </m:r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эксп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)</m:t>
                  </m:r>
                </m:e>
              </m:func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3261F4A" w14:textId="77777777" w:rsidR="00311DCC" w:rsidRPr="006F462B" w:rsidRDefault="00311DCC" w:rsidP="00311DC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highlight w:val="yellow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=-(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 xml:space="preserve">- 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)</m:t>
              </m:r>
            </m:oMath>
            <w:r w:rsidR="006F462B" w:rsidRPr="006F462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88B3A50" w14:textId="77777777" w:rsidR="006F462B" w:rsidRPr="006F462B" w:rsidRDefault="006F462B" w:rsidP="006F462B">
            <w:pPr>
              <w:pStyle w:val="a4"/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6F462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иначе:</w:t>
            </w:r>
          </w:p>
          <w:p w14:paraId="7049067F" w14:textId="77777777" w:rsidR="006F462B" w:rsidRPr="00311DCC" w:rsidRDefault="006F462B" w:rsidP="006F462B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сеч</m:t>
                  </m:r>
                </m:sub>
              </m:sSub>
            </m:oMath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3C8B2482" w14:textId="77777777" w:rsidR="006F462B" w:rsidRPr="00311DCC" w:rsidRDefault="006F462B" w:rsidP="006F462B">
            <w:pPr>
              <w:widowControl w:val="0"/>
              <w:spacing w:before="120" w:after="120"/>
              <w:ind w:left="709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отклонения в ГТП экспорта не определяются.</w:t>
            </w:r>
          </w:p>
          <w:p w14:paraId="41045822" w14:textId="2667DC63" w:rsidR="00311DCC" w:rsidRPr="00311DCC" w:rsidRDefault="00311DCC" w:rsidP="00311DCC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311DCC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В случае если в отношении указанных ГТП </w:t>
            </w:r>
            <w:r w:rsidR="00711F61" w:rsidRPr="00711F61">
              <w:rPr>
                <w:rFonts w:ascii="Garamond" w:hAnsi="Garamond"/>
                <w:color w:val="000000"/>
                <w:sz w:val="22"/>
                <w:szCs w:val="20"/>
                <w:highlight w:val="yellow"/>
                <w:lang w:eastAsia="en-US"/>
              </w:rPr>
              <w:t>импорта</w:t>
            </w:r>
            <w:r w:rsidR="00711F61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 </w:t>
            </w:r>
            <w:r w:rsidRPr="00311DCC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определен объем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изол э</m:t>
                  </m:r>
                  <m:r>
                    <m:rPr>
                      <m:lit/>
                    </m:rP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/</m:t>
                  </m:r>
                  <m:r>
                    <w:rPr>
                      <w:rFonts w:ascii="Cambria Math" w:eastAsia="Calibri" w:hAnsi="Cambria Math" w:cs="Calibri"/>
                      <w:sz w:val="22"/>
                      <w:szCs w:val="22"/>
                      <w:lang w:eastAsia="en-US"/>
                    </w:rPr>
                    <m:t>р</m:t>
                  </m:r>
                </m:sub>
              </m:sSub>
            </m:oMath>
            <w:r w:rsidRPr="00311DCC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, Коммерческий оператор принимает объем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ИС</m:t>
                  </m:r>
                </m:sub>
              </m:sSub>
            </m:oMath>
            <w:r w:rsidRPr="00311DCC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 </w:t>
            </w:r>
            <w:r w:rsidR="00711F61" w:rsidRPr="00711F61">
              <w:rPr>
                <w:rFonts w:ascii="Garamond" w:hAnsi="Garamond"/>
                <w:iCs/>
                <w:sz w:val="22"/>
                <w:szCs w:val="20"/>
                <w:highlight w:val="yellow"/>
                <w:lang w:eastAsia="en-US"/>
              </w:rPr>
              <w:t>в отношении этой ГТП импорта</w:t>
            </w:r>
            <w:r w:rsidR="00711F61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 </w:t>
            </w:r>
            <w:r w:rsidR="00851401">
              <w:rPr>
                <w:rFonts w:ascii="Garamond" w:hAnsi="Garamond"/>
                <w:iCs/>
                <w:sz w:val="22"/>
                <w:szCs w:val="20"/>
                <w:lang w:eastAsia="en-US"/>
              </w:rPr>
              <w:t>равным нулю.</w:t>
            </w:r>
          </w:p>
          <w:p w14:paraId="5EB5E013" w14:textId="77777777" w:rsidR="005D7E7A" w:rsidRPr="0066425F" w:rsidRDefault="005D7E7A" w:rsidP="0066425F">
            <w:pPr>
              <w:spacing w:before="120" w:after="120"/>
              <w:jc w:val="both"/>
              <w:outlineLvl w:val="4"/>
              <w:rPr>
                <w:rFonts w:ascii="Garamond" w:eastAsia="Calibri" w:hAnsi="Garamond" w:cs="Garamond"/>
                <w:bCs/>
                <w:i/>
                <w:sz w:val="22"/>
                <w:szCs w:val="22"/>
                <w:lang w:eastAsia="en-US"/>
              </w:rPr>
            </w:pPr>
          </w:p>
        </w:tc>
      </w:tr>
      <w:bookmarkEnd w:id="1"/>
      <w:bookmarkEnd w:id="2"/>
      <w:bookmarkEnd w:id="3"/>
      <w:bookmarkEnd w:id="4"/>
      <w:bookmarkEnd w:id="5"/>
    </w:tbl>
    <w:p w14:paraId="08FCC31C" w14:textId="77777777" w:rsidR="00C10E7D" w:rsidRDefault="00C10E7D" w:rsidP="00AA1EFE">
      <w:pPr>
        <w:pStyle w:val="20"/>
        <w:keepNext w:val="0"/>
        <w:widowControl w:val="0"/>
        <w:spacing w:before="120" w:after="120"/>
        <w:jc w:val="both"/>
        <w:rPr>
          <w:rFonts w:ascii="Garamond" w:hAnsi="Garamond"/>
          <w:sz w:val="2"/>
          <w:szCs w:val="2"/>
        </w:rPr>
      </w:pPr>
    </w:p>
    <w:p w14:paraId="63D5CB2F" w14:textId="77777777" w:rsidR="004A2E03" w:rsidRDefault="004A2E03" w:rsidP="004A2E03"/>
    <w:p w14:paraId="1BE0BBE2" w14:textId="77777777" w:rsidR="004A2E03" w:rsidRPr="004A2E03" w:rsidRDefault="004A2E03" w:rsidP="004A2E03"/>
    <w:sectPr w:rsidR="004A2E03" w:rsidRPr="004A2E03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A8C48" w14:textId="77777777" w:rsidR="0086610C" w:rsidRDefault="0086610C" w:rsidP="00493E74">
      <w:r>
        <w:separator/>
      </w:r>
    </w:p>
  </w:endnote>
  <w:endnote w:type="continuationSeparator" w:id="0">
    <w:p w14:paraId="386A7B08" w14:textId="77777777" w:rsidR="0086610C" w:rsidRDefault="0086610C" w:rsidP="0049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FBD57" w14:textId="77777777" w:rsidR="0086610C" w:rsidRDefault="0086610C" w:rsidP="00493E74">
      <w:r>
        <w:separator/>
      </w:r>
    </w:p>
  </w:footnote>
  <w:footnote w:type="continuationSeparator" w:id="0">
    <w:p w14:paraId="6F415751" w14:textId="77777777" w:rsidR="0086610C" w:rsidRDefault="0086610C" w:rsidP="0049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D4D5C"/>
    <w:multiLevelType w:val="hybridMultilevel"/>
    <w:tmpl w:val="9AE4962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760F4"/>
    <w:multiLevelType w:val="hybridMultilevel"/>
    <w:tmpl w:val="CE0EA8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33327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9A0BA1"/>
    <w:multiLevelType w:val="hybridMultilevel"/>
    <w:tmpl w:val="6A7A6CD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79320D"/>
    <w:multiLevelType w:val="hybridMultilevel"/>
    <w:tmpl w:val="D0944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644BD"/>
    <w:multiLevelType w:val="hybridMultilevel"/>
    <w:tmpl w:val="A7945880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4A864A1E"/>
    <w:multiLevelType w:val="hybridMultilevel"/>
    <w:tmpl w:val="BE58A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EA14C7A"/>
    <w:multiLevelType w:val="hybridMultilevel"/>
    <w:tmpl w:val="9A308A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D0E9D"/>
    <w:multiLevelType w:val="hybridMultilevel"/>
    <w:tmpl w:val="71E244D6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7661C2E"/>
    <w:multiLevelType w:val="hybridMultilevel"/>
    <w:tmpl w:val="AE2A10B8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8E734D9"/>
    <w:multiLevelType w:val="hybridMultilevel"/>
    <w:tmpl w:val="8E3AB8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4040CEF"/>
    <w:multiLevelType w:val="hybridMultilevel"/>
    <w:tmpl w:val="FC7EF6B6"/>
    <w:lvl w:ilvl="0" w:tplc="1BAA87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741C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4C55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BE54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D5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E2CA6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0A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D4D7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D283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8"/>
  </w:num>
  <w:num w:numId="6">
    <w:abstractNumId w:val="16"/>
  </w:num>
  <w:num w:numId="7">
    <w:abstractNumId w:val="11"/>
  </w:num>
  <w:num w:numId="8">
    <w:abstractNumId w:val="10"/>
  </w:num>
  <w:num w:numId="9">
    <w:abstractNumId w:val="9"/>
  </w:num>
  <w:num w:numId="10">
    <w:abstractNumId w:val="14"/>
  </w:num>
  <w:num w:numId="11">
    <w:abstractNumId w:val="15"/>
  </w:num>
  <w:num w:numId="12">
    <w:abstractNumId w:val="5"/>
  </w:num>
  <w:num w:numId="13">
    <w:abstractNumId w:val="13"/>
  </w:num>
  <w:num w:numId="14">
    <w:abstractNumId w:val="17"/>
  </w:num>
  <w:num w:numId="15">
    <w:abstractNumId w:val="3"/>
  </w:num>
  <w:num w:numId="16">
    <w:abstractNumId w:val="1"/>
  </w:num>
  <w:num w:numId="17">
    <w:abstractNumId w:val="8"/>
  </w:num>
  <w:num w:numId="18">
    <w:abstractNumId w:val="2"/>
  </w:num>
  <w:num w:numId="1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17055"/>
    <w:rsid w:val="0002114F"/>
    <w:rsid w:val="0002169C"/>
    <w:rsid w:val="000404BF"/>
    <w:rsid w:val="00043DB5"/>
    <w:rsid w:val="0004569D"/>
    <w:rsid w:val="00046FB9"/>
    <w:rsid w:val="00060A79"/>
    <w:rsid w:val="0007321A"/>
    <w:rsid w:val="00076D34"/>
    <w:rsid w:val="00083C57"/>
    <w:rsid w:val="00086C23"/>
    <w:rsid w:val="00096F3E"/>
    <w:rsid w:val="000A072D"/>
    <w:rsid w:val="000A520F"/>
    <w:rsid w:val="000B1514"/>
    <w:rsid w:val="000C616E"/>
    <w:rsid w:val="000E25E2"/>
    <w:rsid w:val="000E2CA4"/>
    <w:rsid w:val="000F712F"/>
    <w:rsid w:val="00107E9A"/>
    <w:rsid w:val="00162202"/>
    <w:rsid w:val="0016555E"/>
    <w:rsid w:val="00166CCF"/>
    <w:rsid w:val="00170BF8"/>
    <w:rsid w:val="001710CF"/>
    <w:rsid w:val="00196EFD"/>
    <w:rsid w:val="001A280C"/>
    <w:rsid w:val="001A3DC9"/>
    <w:rsid w:val="001B199E"/>
    <w:rsid w:val="001D7AE1"/>
    <w:rsid w:val="001E2093"/>
    <w:rsid w:val="001F6BF3"/>
    <w:rsid w:val="001F76BB"/>
    <w:rsid w:val="00202B1F"/>
    <w:rsid w:val="0021660B"/>
    <w:rsid w:val="002323A3"/>
    <w:rsid w:val="00234E1C"/>
    <w:rsid w:val="00245834"/>
    <w:rsid w:val="0025607F"/>
    <w:rsid w:val="00260DF1"/>
    <w:rsid w:val="00276032"/>
    <w:rsid w:val="00283C07"/>
    <w:rsid w:val="0028489F"/>
    <w:rsid w:val="00287BF9"/>
    <w:rsid w:val="0029746C"/>
    <w:rsid w:val="002A3795"/>
    <w:rsid w:val="002A7750"/>
    <w:rsid w:val="002B38B1"/>
    <w:rsid w:val="002B564C"/>
    <w:rsid w:val="002C02CA"/>
    <w:rsid w:val="002C57CF"/>
    <w:rsid w:val="002E432D"/>
    <w:rsid w:val="00311DCC"/>
    <w:rsid w:val="00356830"/>
    <w:rsid w:val="0036164B"/>
    <w:rsid w:val="00372580"/>
    <w:rsid w:val="003733DF"/>
    <w:rsid w:val="003778C6"/>
    <w:rsid w:val="00381A72"/>
    <w:rsid w:val="00382B23"/>
    <w:rsid w:val="003B223A"/>
    <w:rsid w:val="003B34A7"/>
    <w:rsid w:val="003C510C"/>
    <w:rsid w:val="003D2E50"/>
    <w:rsid w:val="003D3890"/>
    <w:rsid w:val="003D57F8"/>
    <w:rsid w:val="003F2DBF"/>
    <w:rsid w:val="003F4AC3"/>
    <w:rsid w:val="00400481"/>
    <w:rsid w:val="00401310"/>
    <w:rsid w:val="00421DF9"/>
    <w:rsid w:val="004237AE"/>
    <w:rsid w:val="0045201C"/>
    <w:rsid w:val="004566F8"/>
    <w:rsid w:val="004711E2"/>
    <w:rsid w:val="004715EB"/>
    <w:rsid w:val="00474AA2"/>
    <w:rsid w:val="00493E74"/>
    <w:rsid w:val="00496264"/>
    <w:rsid w:val="004969B0"/>
    <w:rsid w:val="004A2E03"/>
    <w:rsid w:val="004A349E"/>
    <w:rsid w:val="004A3FD1"/>
    <w:rsid w:val="004A6EE6"/>
    <w:rsid w:val="004D366C"/>
    <w:rsid w:val="004E619F"/>
    <w:rsid w:val="004F43B8"/>
    <w:rsid w:val="004F60D0"/>
    <w:rsid w:val="005037DA"/>
    <w:rsid w:val="00505604"/>
    <w:rsid w:val="00523FC4"/>
    <w:rsid w:val="0054001C"/>
    <w:rsid w:val="005422F9"/>
    <w:rsid w:val="00547344"/>
    <w:rsid w:val="00562148"/>
    <w:rsid w:val="005634D7"/>
    <w:rsid w:val="00563E6D"/>
    <w:rsid w:val="00567226"/>
    <w:rsid w:val="0057505B"/>
    <w:rsid w:val="00583D5E"/>
    <w:rsid w:val="0059379B"/>
    <w:rsid w:val="005964A1"/>
    <w:rsid w:val="005D7E7A"/>
    <w:rsid w:val="005E789A"/>
    <w:rsid w:val="00604CBB"/>
    <w:rsid w:val="00605EF7"/>
    <w:rsid w:val="00622DA7"/>
    <w:rsid w:val="00633195"/>
    <w:rsid w:val="006377B5"/>
    <w:rsid w:val="0066425F"/>
    <w:rsid w:val="00683945"/>
    <w:rsid w:val="00685E7E"/>
    <w:rsid w:val="006B2A82"/>
    <w:rsid w:val="006B4BB3"/>
    <w:rsid w:val="006D7355"/>
    <w:rsid w:val="006E0EC7"/>
    <w:rsid w:val="006E1CBC"/>
    <w:rsid w:val="006F04F4"/>
    <w:rsid w:val="006F462B"/>
    <w:rsid w:val="007043B0"/>
    <w:rsid w:val="0070457B"/>
    <w:rsid w:val="00705918"/>
    <w:rsid w:val="00711F61"/>
    <w:rsid w:val="00712CC6"/>
    <w:rsid w:val="00720859"/>
    <w:rsid w:val="00721374"/>
    <w:rsid w:val="00726436"/>
    <w:rsid w:val="00734852"/>
    <w:rsid w:val="007367DE"/>
    <w:rsid w:val="00741201"/>
    <w:rsid w:val="007735D9"/>
    <w:rsid w:val="00774811"/>
    <w:rsid w:val="0079174A"/>
    <w:rsid w:val="00792487"/>
    <w:rsid w:val="007926BF"/>
    <w:rsid w:val="00793A3D"/>
    <w:rsid w:val="007A4700"/>
    <w:rsid w:val="007B7B84"/>
    <w:rsid w:val="007F07F6"/>
    <w:rsid w:val="007F1C92"/>
    <w:rsid w:val="007F48E3"/>
    <w:rsid w:val="00800930"/>
    <w:rsid w:val="00804E11"/>
    <w:rsid w:val="0081343F"/>
    <w:rsid w:val="00826170"/>
    <w:rsid w:val="00832394"/>
    <w:rsid w:val="00851401"/>
    <w:rsid w:val="00861F71"/>
    <w:rsid w:val="00863F71"/>
    <w:rsid w:val="0086610C"/>
    <w:rsid w:val="0086626E"/>
    <w:rsid w:val="0088144F"/>
    <w:rsid w:val="00893ADB"/>
    <w:rsid w:val="008977F8"/>
    <w:rsid w:val="008A5E0A"/>
    <w:rsid w:val="008B1018"/>
    <w:rsid w:val="008B2939"/>
    <w:rsid w:val="008B414F"/>
    <w:rsid w:val="008C0BEE"/>
    <w:rsid w:val="00903219"/>
    <w:rsid w:val="00914910"/>
    <w:rsid w:val="009232BD"/>
    <w:rsid w:val="00925A64"/>
    <w:rsid w:val="00926FEE"/>
    <w:rsid w:val="00936708"/>
    <w:rsid w:val="00956629"/>
    <w:rsid w:val="00963F5B"/>
    <w:rsid w:val="00970498"/>
    <w:rsid w:val="009A591C"/>
    <w:rsid w:val="009A7F23"/>
    <w:rsid w:val="009C6643"/>
    <w:rsid w:val="009C7AC9"/>
    <w:rsid w:val="009D1B5F"/>
    <w:rsid w:val="009E125C"/>
    <w:rsid w:val="009F39D2"/>
    <w:rsid w:val="00A01274"/>
    <w:rsid w:val="00A04337"/>
    <w:rsid w:val="00A24169"/>
    <w:rsid w:val="00A57A6F"/>
    <w:rsid w:val="00A820F2"/>
    <w:rsid w:val="00AA1EFE"/>
    <w:rsid w:val="00AA2FAC"/>
    <w:rsid w:val="00AA3EF6"/>
    <w:rsid w:val="00AB6CDC"/>
    <w:rsid w:val="00AC07B0"/>
    <w:rsid w:val="00AC369C"/>
    <w:rsid w:val="00AE005E"/>
    <w:rsid w:val="00AE4EB4"/>
    <w:rsid w:val="00AE79A9"/>
    <w:rsid w:val="00AF03E7"/>
    <w:rsid w:val="00AF4207"/>
    <w:rsid w:val="00B01A64"/>
    <w:rsid w:val="00B0462E"/>
    <w:rsid w:val="00B271AA"/>
    <w:rsid w:val="00B72AC3"/>
    <w:rsid w:val="00B873A8"/>
    <w:rsid w:val="00B87D94"/>
    <w:rsid w:val="00BB58DA"/>
    <w:rsid w:val="00BE37D2"/>
    <w:rsid w:val="00C1028F"/>
    <w:rsid w:val="00C10E7D"/>
    <w:rsid w:val="00C17531"/>
    <w:rsid w:val="00C33630"/>
    <w:rsid w:val="00C36184"/>
    <w:rsid w:val="00C40696"/>
    <w:rsid w:val="00C80CD8"/>
    <w:rsid w:val="00C830DE"/>
    <w:rsid w:val="00C832FC"/>
    <w:rsid w:val="00CA6142"/>
    <w:rsid w:val="00CB659C"/>
    <w:rsid w:val="00CC0CA3"/>
    <w:rsid w:val="00CE047F"/>
    <w:rsid w:val="00CE0A64"/>
    <w:rsid w:val="00CE1AA7"/>
    <w:rsid w:val="00CF1B2C"/>
    <w:rsid w:val="00D00720"/>
    <w:rsid w:val="00D01A59"/>
    <w:rsid w:val="00D21860"/>
    <w:rsid w:val="00D80997"/>
    <w:rsid w:val="00D82083"/>
    <w:rsid w:val="00DA046F"/>
    <w:rsid w:val="00DB6A21"/>
    <w:rsid w:val="00DC2BB9"/>
    <w:rsid w:val="00DC6100"/>
    <w:rsid w:val="00DF2F2C"/>
    <w:rsid w:val="00DF5FC1"/>
    <w:rsid w:val="00DF7BEC"/>
    <w:rsid w:val="00E06378"/>
    <w:rsid w:val="00E15693"/>
    <w:rsid w:val="00E2242C"/>
    <w:rsid w:val="00E32852"/>
    <w:rsid w:val="00E33429"/>
    <w:rsid w:val="00E46A13"/>
    <w:rsid w:val="00E541C4"/>
    <w:rsid w:val="00E63D23"/>
    <w:rsid w:val="00E6508A"/>
    <w:rsid w:val="00E670AD"/>
    <w:rsid w:val="00E8072E"/>
    <w:rsid w:val="00E86113"/>
    <w:rsid w:val="00EB0895"/>
    <w:rsid w:val="00EB1AFB"/>
    <w:rsid w:val="00EB50B1"/>
    <w:rsid w:val="00EC4692"/>
    <w:rsid w:val="00EE326C"/>
    <w:rsid w:val="00F05FF9"/>
    <w:rsid w:val="00F114EA"/>
    <w:rsid w:val="00F13122"/>
    <w:rsid w:val="00F237E6"/>
    <w:rsid w:val="00F43E38"/>
    <w:rsid w:val="00F511CF"/>
    <w:rsid w:val="00F55998"/>
    <w:rsid w:val="00F74F88"/>
    <w:rsid w:val="00F75EF8"/>
    <w:rsid w:val="00F779F3"/>
    <w:rsid w:val="00FB4429"/>
    <w:rsid w:val="00FB5B1A"/>
    <w:rsid w:val="00FB629A"/>
    <w:rsid w:val="00FE05CE"/>
    <w:rsid w:val="00FE0DDA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8F427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CF1B2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aliases w:val="H4,H41,Sub-Minor,Level 2 - a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"/>
    <w:next w:val="a0"/>
    <w:link w:val="50"/>
    <w:qFormat/>
    <w:rsid w:val="00CF1B2C"/>
    <w:pPr>
      <w:tabs>
        <w:tab w:val="num" w:pos="360"/>
      </w:tabs>
      <w:suppressAutoHyphens/>
      <w:spacing w:before="120" w:after="120"/>
      <w:ind w:left="360" w:hanging="360"/>
      <w:jc w:val="both"/>
      <w:outlineLvl w:val="4"/>
    </w:pPr>
    <w:rPr>
      <w:sz w:val="2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List Paragraph"/>
    <w:basedOn w:val="a"/>
    <w:link w:val="a5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aliases w:val="H4 Знак,H41 Знак,Sub-Minor Знак,Level 2 - a Знак"/>
    <w:basedOn w:val="a1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9"/>
    <w:rsid w:val="00CF1B2C"/>
    <w:rPr>
      <w:sz w:val="22"/>
      <w:lang w:eastAsia="ar-SA"/>
    </w:rPr>
  </w:style>
  <w:style w:type="paragraph" w:styleId="a0">
    <w:name w:val="Body Text"/>
    <w:aliases w:val="body text"/>
    <w:basedOn w:val="a"/>
    <w:link w:val="a6"/>
    <w:unhideWhenUsed/>
    <w:rsid w:val="00CF1B2C"/>
    <w:pPr>
      <w:spacing w:after="120"/>
    </w:pPr>
  </w:style>
  <w:style w:type="character" w:customStyle="1" w:styleId="a6">
    <w:name w:val="Основной текст Знак"/>
    <w:aliases w:val="body text Знак"/>
    <w:basedOn w:val="a1"/>
    <w:link w:val="a0"/>
    <w:uiPriority w:val="99"/>
    <w:rsid w:val="00CF1B2C"/>
    <w:rPr>
      <w:sz w:val="24"/>
      <w:szCs w:val="24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rsid w:val="00CF1B2C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subclauseindent">
    <w:name w:val="subclauseindent"/>
    <w:basedOn w:val="a"/>
    <w:uiPriority w:val="99"/>
    <w:rsid w:val="00EB089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EB0895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2">
    <w:name w:val="Body Text 2"/>
    <w:basedOn w:val="a"/>
    <w:link w:val="23"/>
    <w:rsid w:val="00EB089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EB0895"/>
    <w:rPr>
      <w:sz w:val="24"/>
      <w:szCs w:val="24"/>
    </w:rPr>
  </w:style>
  <w:style w:type="character" w:styleId="a7">
    <w:name w:val="annotation reference"/>
    <w:basedOn w:val="a1"/>
    <w:semiHidden/>
    <w:unhideWhenUsed/>
    <w:rsid w:val="00800930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80093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semiHidden/>
    <w:rsid w:val="00800930"/>
  </w:style>
  <w:style w:type="paragraph" w:styleId="aa">
    <w:name w:val="annotation subject"/>
    <w:basedOn w:val="a8"/>
    <w:next w:val="a8"/>
    <w:link w:val="ab"/>
    <w:semiHidden/>
    <w:unhideWhenUsed/>
    <w:rsid w:val="00800930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800930"/>
    <w:rPr>
      <w:b/>
      <w:bCs/>
    </w:rPr>
  </w:style>
  <w:style w:type="paragraph" w:styleId="ac">
    <w:name w:val="Balloon Text"/>
    <w:basedOn w:val="a"/>
    <w:link w:val="ad"/>
    <w:semiHidden/>
    <w:unhideWhenUsed/>
    <w:rsid w:val="008009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80093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B1A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Заголовок 2 Знак"/>
    <w:basedOn w:val="a1"/>
    <w:link w:val="20"/>
    <w:locked/>
    <w:rsid w:val="0079174A"/>
    <w:rPr>
      <w:b/>
      <w:bCs/>
    </w:rPr>
  </w:style>
  <w:style w:type="character" w:customStyle="1" w:styleId="a5">
    <w:name w:val="Абзац списка Знак"/>
    <w:link w:val="a4"/>
    <w:uiPriority w:val="34"/>
    <w:rsid w:val="00CA6142"/>
    <w:rPr>
      <w:sz w:val="24"/>
      <w:szCs w:val="24"/>
    </w:rPr>
  </w:style>
  <w:style w:type="paragraph" w:styleId="ae">
    <w:name w:val="Normal (Web)"/>
    <w:basedOn w:val="a"/>
    <w:uiPriority w:val="99"/>
    <w:rsid w:val="00956629"/>
    <w:pPr>
      <w:spacing w:before="42"/>
    </w:pPr>
  </w:style>
  <w:style w:type="character" w:styleId="af">
    <w:name w:val="Placeholder Text"/>
    <w:basedOn w:val="a1"/>
    <w:uiPriority w:val="99"/>
    <w:semiHidden/>
    <w:rsid w:val="004715EB"/>
    <w:rPr>
      <w:color w:val="808080"/>
    </w:rPr>
  </w:style>
  <w:style w:type="paragraph" w:styleId="af0">
    <w:name w:val="header"/>
    <w:basedOn w:val="a"/>
    <w:link w:val="af1"/>
    <w:unhideWhenUsed/>
    <w:rsid w:val="00493E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493E74"/>
    <w:rPr>
      <w:sz w:val="24"/>
      <w:szCs w:val="24"/>
    </w:rPr>
  </w:style>
  <w:style w:type="paragraph" w:styleId="af2">
    <w:name w:val="footer"/>
    <w:basedOn w:val="a"/>
    <w:link w:val="af3"/>
    <w:unhideWhenUsed/>
    <w:rsid w:val="00493E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493E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D0F39-F66D-4190-824C-5464B1B8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1259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18</cp:revision>
  <dcterms:created xsi:type="dcterms:W3CDTF">2023-08-09T10:12:00Z</dcterms:created>
  <dcterms:modified xsi:type="dcterms:W3CDTF">2023-08-17T11:47:00Z</dcterms:modified>
</cp:coreProperties>
</file>