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4B45F" w14:textId="106BB9B1" w:rsidR="00C06ABD" w:rsidRDefault="00C1219A" w:rsidP="00C06ABD">
      <w:pPr>
        <w:widowControl w:val="0"/>
        <w:rPr>
          <w:rFonts w:ascii="Garamond" w:hAnsi="Garamond"/>
          <w:b/>
          <w:szCs w:val="28"/>
        </w:rPr>
      </w:pPr>
      <w:r>
        <w:rPr>
          <w:rFonts w:ascii="Garamond" w:hAnsi="Garamond"/>
          <w:b/>
          <w:szCs w:val="28"/>
          <w:lang w:val="en-US"/>
        </w:rPr>
        <w:t>VIII</w:t>
      </w:r>
      <w:r w:rsidRPr="000B55FD">
        <w:rPr>
          <w:rFonts w:ascii="Garamond" w:hAnsi="Garamond"/>
          <w:b/>
          <w:szCs w:val="28"/>
        </w:rPr>
        <w:t>.5</w:t>
      </w:r>
      <w:r w:rsidR="00C303B7" w:rsidRPr="00C303B7">
        <w:rPr>
          <w:rFonts w:ascii="Garamond" w:hAnsi="Garamond"/>
          <w:b/>
          <w:szCs w:val="28"/>
        </w:rPr>
        <w:t xml:space="preserve">. </w:t>
      </w:r>
      <w:r w:rsidR="00C06ABD" w:rsidRPr="00C303B7">
        <w:rPr>
          <w:rFonts w:ascii="Garamond" w:hAnsi="Garamond"/>
          <w:b/>
          <w:szCs w:val="28"/>
        </w:rPr>
        <w:t>Изменения, связанные с корректировкой рентабельности организации, осуществляющей экспортно-импортные операции, при экспортных поставках электроэнергии в Китайскую Народную Республику</w:t>
      </w:r>
    </w:p>
    <w:p w14:paraId="29A3A0BC" w14:textId="77777777" w:rsidR="00C303B7" w:rsidRDefault="00C303B7" w:rsidP="00C06ABD">
      <w:pPr>
        <w:widowControl w:val="0"/>
        <w:rPr>
          <w:rFonts w:ascii="Garamond" w:hAnsi="Garamond"/>
          <w:b/>
          <w:szCs w:val="28"/>
        </w:rPr>
      </w:pPr>
    </w:p>
    <w:p w14:paraId="6DFD23D1" w14:textId="78471473" w:rsidR="00C303B7" w:rsidRPr="00C1219A" w:rsidRDefault="00C303B7" w:rsidP="00860C2A">
      <w:pPr>
        <w:widowControl w:val="0"/>
        <w:ind w:right="-172"/>
        <w:jc w:val="right"/>
        <w:rPr>
          <w:rFonts w:ascii="Garamond" w:hAnsi="Garamond"/>
          <w:b/>
          <w:szCs w:val="28"/>
          <w:lang w:val="en-US"/>
        </w:rPr>
      </w:pPr>
      <w:r>
        <w:rPr>
          <w:rFonts w:ascii="Garamond" w:hAnsi="Garamond"/>
          <w:b/>
          <w:szCs w:val="28"/>
        </w:rPr>
        <w:t xml:space="preserve">Приложение № </w:t>
      </w:r>
      <w:r w:rsidR="00C1219A">
        <w:rPr>
          <w:rFonts w:ascii="Garamond" w:hAnsi="Garamond"/>
          <w:b/>
          <w:szCs w:val="28"/>
          <w:lang w:val="en-US"/>
        </w:rPr>
        <w:t>8.5</w:t>
      </w:r>
    </w:p>
    <w:p w14:paraId="63885FD3" w14:textId="77777777" w:rsidR="00C06ABD" w:rsidRPr="00AF3269" w:rsidRDefault="00C06ABD" w:rsidP="00C06ABD">
      <w:pPr>
        <w:widowControl w:val="0"/>
        <w:rPr>
          <w:rFonts w:ascii="Garamond" w:hAnsi="Garamond"/>
          <w:b/>
          <w:sz w:val="24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4"/>
      </w:tblGrid>
      <w:tr w:rsidR="00C06ABD" w:rsidRPr="00AF3269" w14:paraId="1C76FE9B" w14:textId="77777777" w:rsidTr="00520530">
        <w:tc>
          <w:tcPr>
            <w:tcW w:w="14884" w:type="dxa"/>
            <w:tcBorders>
              <w:right w:val="single" w:sz="4" w:space="0" w:color="auto"/>
            </w:tcBorders>
          </w:tcPr>
          <w:p w14:paraId="01D10E27" w14:textId="717D36DA" w:rsidR="00C06ABD" w:rsidRPr="00AF3269" w:rsidRDefault="00C06ABD" w:rsidP="00520530">
            <w:pPr>
              <w:widowControl w:val="0"/>
              <w:rPr>
                <w:rFonts w:ascii="Garamond" w:hAnsi="Garamond"/>
                <w:sz w:val="24"/>
              </w:rPr>
            </w:pPr>
            <w:r w:rsidRPr="00AF3269">
              <w:rPr>
                <w:rFonts w:ascii="Garamond" w:hAnsi="Garamond"/>
                <w:b/>
                <w:sz w:val="24"/>
              </w:rPr>
              <w:t>Инициатор</w:t>
            </w:r>
            <w:r w:rsidRPr="00AF3269">
              <w:rPr>
                <w:rFonts w:ascii="Garamond" w:hAnsi="Garamond"/>
                <w:sz w:val="24"/>
              </w:rPr>
              <w:t xml:space="preserve">: </w:t>
            </w:r>
            <w:r w:rsidR="00C303B7">
              <w:rPr>
                <w:rFonts w:ascii="Garamond" w:hAnsi="Garamond"/>
                <w:sz w:val="24"/>
              </w:rPr>
              <w:t>ч</w:t>
            </w:r>
            <w:r w:rsidRPr="00AF3269">
              <w:rPr>
                <w:rFonts w:ascii="Garamond" w:hAnsi="Garamond"/>
                <w:sz w:val="24"/>
              </w:rPr>
              <w:t xml:space="preserve">лен Наблюдательного совета Ассоциации «НП Совет рынка» </w:t>
            </w:r>
            <w:r>
              <w:rPr>
                <w:rFonts w:ascii="Garamond" w:hAnsi="Garamond"/>
                <w:sz w:val="24"/>
              </w:rPr>
              <w:t>А.Г. Панина</w:t>
            </w:r>
            <w:r w:rsidR="00C303B7">
              <w:rPr>
                <w:rFonts w:ascii="Garamond" w:hAnsi="Garamond"/>
                <w:sz w:val="24"/>
              </w:rPr>
              <w:t>.</w:t>
            </w:r>
          </w:p>
          <w:p w14:paraId="4C18A23E" w14:textId="77777777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 w:rsidRPr="00AF3269">
              <w:rPr>
                <w:rFonts w:ascii="Garamond" w:hAnsi="Garamond"/>
                <w:b/>
                <w:sz w:val="24"/>
              </w:rPr>
              <w:t>Обоснование</w:t>
            </w:r>
            <w:r w:rsidRPr="00AF3269">
              <w:rPr>
                <w:rFonts w:ascii="Garamond" w:hAnsi="Garamond"/>
                <w:sz w:val="24"/>
              </w:rPr>
              <w:t xml:space="preserve">: внести изменения, направленные </w:t>
            </w:r>
            <w:r>
              <w:rPr>
                <w:rFonts w:ascii="Garamond" w:hAnsi="Garamond"/>
                <w:sz w:val="24"/>
              </w:rPr>
              <w:t>на учет в рентабельности экспортера в КНР таможенной пошлины, введенной с 1 октября 2023 года в размере:</w:t>
            </w:r>
          </w:p>
          <w:p w14:paraId="68150794" w14:textId="77777777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 w:rsidRPr="00D53807">
              <w:rPr>
                <w:rFonts w:ascii="Garamond" w:hAnsi="Garamond"/>
                <w:sz w:val="24"/>
              </w:rPr>
              <w:t>7 процентов от таможенной стоимости товара, при среднем значении за период мониторинга курса доллара США к рублю более 95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09D0AE8E" w14:textId="77777777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5,5</w:t>
            </w:r>
            <w:r w:rsidRPr="00D53807">
              <w:rPr>
                <w:rFonts w:ascii="Garamond" w:hAnsi="Garamond"/>
                <w:sz w:val="24"/>
              </w:rPr>
              <w:t xml:space="preserve"> процентов от таможенной стоимости товара, при среднем значении за период мониторинга курса доллара США к рублю более 9</w:t>
            </w:r>
            <w:r>
              <w:rPr>
                <w:rFonts w:ascii="Garamond" w:hAnsi="Garamond"/>
                <w:sz w:val="24"/>
              </w:rPr>
              <w:t>0, но менее 95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25C545BE" w14:textId="0A5231DD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4,5</w:t>
            </w:r>
            <w:r w:rsidR="007B0E97">
              <w:rPr>
                <w:rFonts w:ascii="Garamond" w:hAnsi="Garamond"/>
                <w:sz w:val="24"/>
              </w:rPr>
              <w:t xml:space="preserve"> процента</w:t>
            </w:r>
            <w:r w:rsidRPr="00D53807">
              <w:rPr>
                <w:rFonts w:ascii="Garamond" w:hAnsi="Garamond"/>
                <w:sz w:val="24"/>
              </w:rPr>
              <w:t xml:space="preserve"> от таможенной стоимости товара, при среднем значении за период мониторинга курса доллара США к рублю б</w:t>
            </w:r>
            <w:r>
              <w:rPr>
                <w:rFonts w:ascii="Garamond" w:hAnsi="Garamond"/>
                <w:sz w:val="24"/>
              </w:rPr>
              <w:t>олее 8</w:t>
            </w:r>
            <w:r w:rsidRPr="00D53807">
              <w:rPr>
                <w:rFonts w:ascii="Garamond" w:hAnsi="Garamond"/>
                <w:sz w:val="24"/>
              </w:rPr>
              <w:t>5</w:t>
            </w:r>
            <w:r>
              <w:rPr>
                <w:rFonts w:ascii="Garamond" w:hAnsi="Garamond"/>
                <w:sz w:val="24"/>
              </w:rPr>
              <w:t>, но менее 90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1C1160CB" w14:textId="57FD2408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  <w:r w:rsidR="007B0E97">
              <w:rPr>
                <w:rFonts w:ascii="Garamond" w:hAnsi="Garamond"/>
                <w:sz w:val="24"/>
              </w:rPr>
              <w:t xml:space="preserve"> процента</w:t>
            </w:r>
            <w:r w:rsidRPr="00D53807">
              <w:rPr>
                <w:rFonts w:ascii="Garamond" w:hAnsi="Garamond"/>
                <w:sz w:val="24"/>
              </w:rPr>
              <w:t xml:space="preserve"> от таможенной стоимости товара, при среднем значении за период мониторинга курса доллара США к рублю б</w:t>
            </w:r>
            <w:r>
              <w:rPr>
                <w:rFonts w:ascii="Garamond" w:hAnsi="Garamond"/>
                <w:sz w:val="24"/>
              </w:rPr>
              <w:t>олее 8</w:t>
            </w:r>
            <w:r w:rsidR="00EC706C">
              <w:rPr>
                <w:rFonts w:ascii="Garamond" w:hAnsi="Garamond"/>
                <w:sz w:val="24"/>
              </w:rPr>
              <w:t>0</w:t>
            </w:r>
            <w:r>
              <w:rPr>
                <w:rFonts w:ascii="Garamond" w:hAnsi="Garamond"/>
                <w:sz w:val="24"/>
              </w:rPr>
              <w:t>, но</w:t>
            </w:r>
            <w:r w:rsidR="00EC706C">
              <w:rPr>
                <w:rFonts w:ascii="Garamond" w:hAnsi="Garamond"/>
                <w:sz w:val="24"/>
              </w:rPr>
              <w:t xml:space="preserve"> менее 85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;</w:t>
            </w:r>
          </w:p>
          <w:p w14:paraId="61BB0C42" w14:textId="4EDB0EE2" w:rsidR="00C06ABD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  <w:r w:rsidR="007B0E97">
              <w:rPr>
                <w:rFonts w:ascii="Garamond" w:hAnsi="Garamond"/>
                <w:sz w:val="24"/>
              </w:rPr>
              <w:t xml:space="preserve"> процента</w:t>
            </w:r>
            <w:r w:rsidRPr="00D53807">
              <w:rPr>
                <w:rFonts w:ascii="Garamond" w:hAnsi="Garamond"/>
                <w:sz w:val="24"/>
              </w:rPr>
              <w:t xml:space="preserve"> от таможенной стоимости товара, при среднем значении за период мониторинга курса доллара США к рублю </w:t>
            </w:r>
            <w:r>
              <w:rPr>
                <w:rFonts w:ascii="Garamond" w:hAnsi="Garamond"/>
                <w:sz w:val="24"/>
              </w:rPr>
              <w:t>менее 80</w:t>
            </w:r>
            <w:r w:rsidRPr="00D53807">
              <w:rPr>
                <w:rFonts w:ascii="Garamond" w:hAnsi="Garamond"/>
                <w:sz w:val="24"/>
              </w:rPr>
              <w:t xml:space="preserve"> рублей</w:t>
            </w:r>
            <w:r>
              <w:rPr>
                <w:rFonts w:ascii="Garamond" w:hAnsi="Garamond"/>
                <w:sz w:val="24"/>
              </w:rPr>
              <w:t>.</w:t>
            </w:r>
          </w:p>
          <w:p w14:paraId="5FD228E0" w14:textId="44ED2B44" w:rsidR="00C06ABD" w:rsidRPr="00AF3269" w:rsidRDefault="00C06ABD" w:rsidP="00520530">
            <w:pPr>
              <w:jc w:val="both"/>
              <w:rPr>
                <w:rFonts w:ascii="Garamond" w:hAnsi="Garamond"/>
                <w:sz w:val="24"/>
              </w:rPr>
            </w:pPr>
            <w:r w:rsidRPr="00AF3269">
              <w:rPr>
                <w:rFonts w:ascii="Garamond" w:hAnsi="Garamond"/>
                <w:b/>
                <w:sz w:val="24"/>
              </w:rPr>
              <w:t>Дата вступления в силу</w:t>
            </w:r>
            <w:r w:rsidRPr="00AF3269">
              <w:rPr>
                <w:rFonts w:ascii="Garamond" w:hAnsi="Garamond"/>
                <w:sz w:val="24"/>
              </w:rPr>
              <w:t>: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0D2A54">
              <w:rPr>
                <w:rFonts w:ascii="Garamond" w:hAnsi="Garamond"/>
                <w:sz w:val="24"/>
              </w:rPr>
              <w:t>1 ноября 2023 года.</w:t>
            </w:r>
          </w:p>
        </w:tc>
      </w:tr>
    </w:tbl>
    <w:p w14:paraId="1C1242FF" w14:textId="77777777" w:rsidR="00C06ABD" w:rsidRPr="00965708" w:rsidRDefault="00C06ABD" w:rsidP="00C06ABD">
      <w:pPr>
        <w:tabs>
          <w:tab w:val="left" w:pos="1134"/>
        </w:tabs>
        <w:ind w:right="23"/>
        <w:outlineLvl w:val="0"/>
        <w:rPr>
          <w:b/>
          <w:caps/>
          <w:sz w:val="24"/>
        </w:rPr>
      </w:pPr>
    </w:p>
    <w:p w14:paraId="03A0FD71" w14:textId="77777777" w:rsidR="00C06ABD" w:rsidRPr="00C1348A" w:rsidRDefault="00C06ABD" w:rsidP="00C1348A">
      <w:pPr>
        <w:tabs>
          <w:tab w:val="left" w:pos="1134"/>
        </w:tabs>
        <w:ind w:right="23"/>
        <w:outlineLvl w:val="0"/>
        <w:rPr>
          <w:rFonts w:ascii="Garamond" w:hAnsi="Garamond"/>
          <w:b/>
          <w:caps/>
          <w:sz w:val="26"/>
          <w:szCs w:val="26"/>
        </w:rPr>
      </w:pPr>
      <w:r w:rsidRPr="00C1348A">
        <w:rPr>
          <w:rFonts w:ascii="Garamond" w:hAnsi="Garamond"/>
          <w:b/>
          <w:caps/>
          <w:sz w:val="26"/>
          <w:szCs w:val="26"/>
        </w:rPr>
        <w:t>П</w:t>
      </w:r>
      <w:r w:rsidRPr="00C1348A">
        <w:rPr>
          <w:rFonts w:ascii="Garamond" w:hAnsi="Garamond"/>
          <w:b/>
          <w:sz w:val="26"/>
          <w:szCs w:val="26"/>
        </w:rPr>
        <w:t>редложения по изменениям и дополнениям</w:t>
      </w:r>
      <w:r w:rsidRPr="00C1348A">
        <w:rPr>
          <w:rFonts w:ascii="Garamond" w:hAnsi="Garamond"/>
          <w:b/>
          <w:caps/>
          <w:sz w:val="26"/>
          <w:szCs w:val="26"/>
        </w:rPr>
        <w:t xml:space="preserve"> </w:t>
      </w:r>
      <w:r w:rsidRPr="00C1348A">
        <w:rPr>
          <w:rFonts w:ascii="Garamond" w:hAnsi="Garamond"/>
          <w:b/>
          <w:sz w:val="26"/>
          <w:szCs w:val="26"/>
        </w:rPr>
        <w:t>в</w:t>
      </w:r>
      <w:r w:rsidRPr="00C1348A">
        <w:rPr>
          <w:rFonts w:ascii="Garamond" w:hAnsi="Garamond"/>
          <w:b/>
          <w:caps/>
          <w:sz w:val="26"/>
          <w:szCs w:val="26"/>
        </w:rPr>
        <w:t xml:space="preserve"> Регламент функционирования участников оптового рынка на территории неценовых зон </w:t>
      </w:r>
      <w:r w:rsidRPr="00C1348A">
        <w:rPr>
          <w:rFonts w:ascii="Garamond" w:hAnsi="Garamond"/>
          <w:b/>
          <w:sz w:val="26"/>
          <w:szCs w:val="26"/>
        </w:rPr>
        <w:t>(</w:t>
      </w:r>
      <w:r w:rsidRPr="00C1348A">
        <w:rPr>
          <w:rFonts w:ascii="Garamond" w:eastAsia="Batang" w:hAnsi="Garamond" w:cs="Times New Roman"/>
          <w:b/>
          <w:bCs/>
          <w:caps/>
          <w:sz w:val="26"/>
          <w:szCs w:val="26"/>
          <w:lang w:eastAsia="ru-RU"/>
        </w:rPr>
        <w:t>п</w:t>
      </w:r>
      <w:r w:rsidRPr="00C1348A">
        <w:rPr>
          <w:rFonts w:ascii="Garamond" w:eastAsia="Batang" w:hAnsi="Garamond" w:cs="Times New Roman"/>
          <w:b/>
          <w:bCs/>
          <w:sz w:val="26"/>
          <w:szCs w:val="26"/>
          <w:lang w:eastAsia="ru-RU"/>
        </w:rPr>
        <w:t>риложение</w:t>
      </w:r>
      <w:r w:rsidRPr="00C1348A">
        <w:rPr>
          <w:rFonts w:ascii="Garamond" w:hAnsi="Garamond"/>
          <w:b/>
          <w:sz w:val="26"/>
          <w:szCs w:val="26"/>
        </w:rPr>
        <w:t xml:space="preserve"> </w:t>
      </w:r>
      <w:r w:rsidRPr="00C1348A">
        <w:rPr>
          <w:rFonts w:ascii="Garamond" w:hAnsi="Garamond"/>
          <w:b/>
          <w:caps/>
          <w:sz w:val="26"/>
          <w:szCs w:val="26"/>
        </w:rPr>
        <w:t xml:space="preserve">№ 14 </w:t>
      </w:r>
      <w:r w:rsidRPr="00C1348A">
        <w:rPr>
          <w:rFonts w:ascii="Garamond" w:hAnsi="Garamond"/>
          <w:b/>
          <w:sz w:val="26"/>
          <w:szCs w:val="26"/>
        </w:rPr>
        <w:t>к Договору о присоединении к торговой системе оптового рынка</w:t>
      </w:r>
      <w:r w:rsidRPr="00C1348A">
        <w:rPr>
          <w:rFonts w:ascii="Garamond" w:hAnsi="Garamond"/>
          <w:b/>
          <w:caps/>
          <w:sz w:val="26"/>
          <w:szCs w:val="26"/>
        </w:rPr>
        <w:t>)</w:t>
      </w:r>
    </w:p>
    <w:p w14:paraId="5227927E" w14:textId="77777777" w:rsidR="00C06ABD" w:rsidRDefault="00C06ABD" w:rsidP="00C06ABD">
      <w:pPr>
        <w:rPr>
          <w:sz w:val="24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996"/>
        <w:gridCol w:w="6796"/>
        <w:gridCol w:w="7087"/>
      </w:tblGrid>
      <w:tr w:rsidR="00C06ABD" w:rsidRPr="00C9585A" w14:paraId="726F1A53" w14:textId="77777777" w:rsidTr="00860C2A">
        <w:tc>
          <w:tcPr>
            <w:tcW w:w="996" w:type="dxa"/>
            <w:vAlign w:val="center"/>
          </w:tcPr>
          <w:p w14:paraId="532BDFB0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55313CB3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796" w:type="dxa"/>
            <w:vAlign w:val="center"/>
          </w:tcPr>
          <w:p w14:paraId="5CF29018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608EC63A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14:paraId="60579348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Предлагаемые изменения</w:t>
            </w:r>
          </w:p>
          <w:p w14:paraId="1ABA26CC" w14:textId="77777777" w:rsidR="00C06ABD" w:rsidRPr="00C9585A" w:rsidRDefault="00C06ABD" w:rsidP="00520530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C9585A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C06ABD" w:rsidRPr="00C9585A" w14:paraId="42F50A4C" w14:textId="77777777" w:rsidTr="00860C2A">
        <w:tc>
          <w:tcPr>
            <w:tcW w:w="996" w:type="dxa"/>
          </w:tcPr>
          <w:p w14:paraId="2B51E787" w14:textId="77777777" w:rsidR="00C06ABD" w:rsidRPr="00C9585A" w:rsidRDefault="00C06ABD" w:rsidP="00461F1C">
            <w:pPr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9585A">
              <w:rPr>
                <w:rFonts w:ascii="Garamond" w:hAnsi="Garamond"/>
                <w:b/>
                <w:sz w:val="22"/>
                <w:szCs w:val="22"/>
              </w:rPr>
              <w:t>15.6.4.2</w:t>
            </w:r>
          </w:p>
        </w:tc>
        <w:tc>
          <w:tcPr>
            <w:tcW w:w="6796" w:type="dxa"/>
          </w:tcPr>
          <w:p w14:paraId="002BE5D0" w14:textId="77777777" w:rsidR="00C06ABD" w:rsidRPr="00C9585A" w:rsidRDefault="00C06ABD" w:rsidP="00520530">
            <w:pPr>
              <w:pStyle w:val="3"/>
              <w:ind w:firstLine="540"/>
              <w:outlineLvl w:val="2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t>15.6.4.2. Расчет коэффициента резервирования для организаций, осуществляющих экспортно-импортные операции во второй неценовой зоне оптового рынка</w:t>
            </w:r>
          </w:p>
          <w:p w14:paraId="2F1BFFC8" w14:textId="77777777" w:rsidR="00C06ABD" w:rsidRPr="00C9585A" w:rsidRDefault="00C06ABD" w:rsidP="00520530">
            <w:pPr>
              <w:pStyle w:val="3"/>
              <w:ind w:firstLine="540"/>
              <w:outlineLvl w:val="2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t>КО рассчитывает фактический коэффициент резервирования для организаций, осуществляющих экспортно-импортные операции во второй неценовой зоне оптового рынка, в соответствии с формулой:</w:t>
            </w:r>
          </w:p>
          <w:p w14:paraId="60305D5E" w14:textId="77777777" w:rsidR="00C06ABD" w:rsidRPr="00C9585A" w:rsidRDefault="00C06ABD" w:rsidP="00520530">
            <w:pPr>
              <w:pStyle w:val="3"/>
              <w:jc w:val="center"/>
              <w:outlineLvl w:val="2"/>
              <w:rPr>
                <w:b w:val="0"/>
                <w:bCs/>
              </w:rPr>
            </w:pPr>
            <w:r w:rsidRPr="00C9585A">
              <w:rPr>
                <w:b w:val="0"/>
                <w:position w:val="-52"/>
              </w:rPr>
              <w:object w:dxaOrig="7660" w:dyaOrig="1160" w14:anchorId="7E1441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6.5pt;height:38pt" o:ole="">
                  <v:imagedata r:id="rId4" o:title=""/>
                </v:shape>
                <o:OLEObject Type="Embed" ProgID="Equation.3" ShapeID="_x0000_i1025" DrawAspect="Content" ObjectID="_1759954640" r:id="rId5"/>
              </w:object>
            </w:r>
            <w:r w:rsidRPr="00C9585A">
              <w:rPr>
                <w:b w:val="0"/>
                <w:bCs/>
                <w:position w:val="-52"/>
              </w:rPr>
              <w:t>,</w:t>
            </w:r>
          </w:p>
          <w:p w14:paraId="3A7AD2D7" w14:textId="77777777" w:rsidR="00C06ABD" w:rsidRPr="00C9585A" w:rsidRDefault="00C06ABD" w:rsidP="0052053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9585A">
              <w:rPr>
                <w:rFonts w:ascii="Garamond" w:hAnsi="Garamond"/>
                <w:bCs/>
                <w:sz w:val="22"/>
                <w:szCs w:val="22"/>
              </w:rPr>
              <w:lastRenderedPageBreak/>
              <w:t>где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</w:r>
            <w:r w:rsidRPr="00C9585A">
              <w:rPr>
                <w:rFonts w:ascii="Garamond" w:hAnsi="Garamond"/>
                <w:sz w:val="22"/>
                <w:szCs w:val="22"/>
              </w:rPr>
              <w:object w:dxaOrig="465" w:dyaOrig="375" w14:anchorId="6A15B443">
                <v:shape id="_x0000_i1026" type="#_x0000_t75" style="width:23.5pt;height:19pt" o:ole="">
                  <v:imagedata r:id="rId6" o:title=""/>
                </v:shape>
                <o:OLEObject Type="Embed" ProgID="Equation.3" ShapeID="_x0000_i1026" DrawAspect="Content" ObjectID="_1759954641" r:id="rId7"/>
              </w:object>
            </w:r>
            <w:r w:rsidRPr="00C9585A">
              <w:rPr>
                <w:rFonts w:ascii="Garamond" w:hAnsi="Garamond"/>
                <w:sz w:val="22"/>
                <w:szCs w:val="22"/>
              </w:rPr>
              <w:t xml:space="preserve"> – рентабельность продаж организации, осуществляющей 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  <w:t>экспортно-импортные операции, рассчитываемая в соответствии с формулой:</w:t>
            </w:r>
          </w:p>
          <w:p w14:paraId="14F746F8" w14:textId="77777777" w:rsidR="00C06ABD" w:rsidRPr="00C9585A" w:rsidRDefault="00EC706C" w:rsidP="00520530">
            <w:pPr>
              <w:spacing w:before="120" w:after="120"/>
              <w:ind w:left="1985"/>
              <w:jc w:val="both"/>
              <w:rPr>
                <w:rFonts w:ascii="Garamond" w:hAnsi="Garamond"/>
                <w:bCs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=0,045+0,007*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D,x1,s,z,m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ДД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,p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∈z=2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h∈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,p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z,h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С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i,</m:t>
                              </m:r>
                              <m:nary>
                                <m:naryPr>
                                  <m:chr m:val="∑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)</m:t>
                                  </m:r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z,m</m:t>
                              </m:r>
                              <m:ctrlPr>
                                <w:rPr>
                                  <w:rFonts w:ascii="Cambria Math" w:hAnsi="Cambria Math"/>
                                  <w:bCs/>
                                  <w:sz w:val="22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баланс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C06ABD" w:rsidRPr="00C9585A">
              <w:rPr>
                <w:rFonts w:ascii="Garamond" w:hAnsi="Garamond"/>
                <w:bCs/>
                <w:sz w:val="22"/>
                <w:szCs w:val="22"/>
                <w:lang w:val="en-US"/>
              </w:rPr>
              <w:t>,</w:t>
            </w:r>
          </w:p>
          <w:p w14:paraId="6D6A48CB" w14:textId="0F0C07EF" w:rsidR="00C06ABD" w:rsidRPr="000D2A54" w:rsidRDefault="00C06ABD" w:rsidP="00D314E9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21779680" w14:textId="77777777" w:rsidR="00C06ABD" w:rsidRPr="00D314E9" w:rsidRDefault="00C06ABD" w:rsidP="00520530">
            <w:pPr>
              <w:spacing w:before="120" w:after="120"/>
              <w:ind w:left="539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</w:tc>
        <w:tc>
          <w:tcPr>
            <w:tcW w:w="7087" w:type="dxa"/>
          </w:tcPr>
          <w:p w14:paraId="03D55EA2" w14:textId="77777777" w:rsidR="00C06ABD" w:rsidRPr="00C9585A" w:rsidRDefault="00C06ABD" w:rsidP="00520530">
            <w:pPr>
              <w:pStyle w:val="3"/>
              <w:ind w:firstLine="540"/>
              <w:outlineLvl w:val="2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lastRenderedPageBreak/>
              <w:t>15.6.4.2. Расчет коэффициента резервирования для организаций, осуществляющих экспортно-импортные операции во второй неценовой зоне оптового рынка</w:t>
            </w:r>
          </w:p>
          <w:p w14:paraId="2B9C0DD2" w14:textId="77777777" w:rsidR="00C06ABD" w:rsidRPr="00C9585A" w:rsidRDefault="00C06ABD" w:rsidP="00520530">
            <w:pPr>
              <w:pStyle w:val="3"/>
              <w:ind w:firstLine="540"/>
              <w:outlineLvl w:val="2"/>
              <w:rPr>
                <w:b w:val="0"/>
                <w:bCs/>
              </w:rPr>
            </w:pPr>
            <w:r w:rsidRPr="00C9585A">
              <w:rPr>
                <w:b w:val="0"/>
                <w:bCs/>
              </w:rPr>
              <w:t>КО рассчитывает фактический коэффициент резервирования для организаций, осуществляющих экспортно-импортные операции во второй неценовой зоне оптового рынка, в соответствии с формулой:</w:t>
            </w:r>
          </w:p>
          <w:p w14:paraId="1CCB0822" w14:textId="77777777" w:rsidR="00C06ABD" w:rsidRPr="00C9585A" w:rsidRDefault="00C06ABD" w:rsidP="00520530">
            <w:pPr>
              <w:pStyle w:val="3"/>
              <w:jc w:val="center"/>
              <w:outlineLvl w:val="2"/>
              <w:rPr>
                <w:b w:val="0"/>
                <w:bCs/>
              </w:rPr>
            </w:pPr>
            <w:r w:rsidRPr="00C9585A">
              <w:rPr>
                <w:b w:val="0"/>
                <w:position w:val="-52"/>
              </w:rPr>
              <w:object w:dxaOrig="7660" w:dyaOrig="1160" w14:anchorId="5DB168D9">
                <v:shape id="_x0000_i1027" type="#_x0000_t75" style="width:266.5pt;height:38pt" o:ole="">
                  <v:imagedata r:id="rId4" o:title=""/>
                </v:shape>
                <o:OLEObject Type="Embed" ProgID="Equation.3" ShapeID="_x0000_i1027" DrawAspect="Content" ObjectID="_1759954642" r:id="rId8"/>
              </w:object>
            </w:r>
            <w:r w:rsidRPr="00C9585A">
              <w:rPr>
                <w:b w:val="0"/>
                <w:bCs/>
                <w:position w:val="-52"/>
              </w:rPr>
              <w:t>,</w:t>
            </w:r>
          </w:p>
          <w:p w14:paraId="3403C7D6" w14:textId="77777777" w:rsidR="00C06ABD" w:rsidRPr="00C9585A" w:rsidRDefault="00C06ABD" w:rsidP="00520530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C9585A">
              <w:rPr>
                <w:rFonts w:ascii="Garamond" w:hAnsi="Garamond"/>
                <w:bCs/>
                <w:sz w:val="22"/>
                <w:szCs w:val="22"/>
              </w:rPr>
              <w:lastRenderedPageBreak/>
              <w:t>где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</w:r>
            <w:r w:rsidRPr="00C9585A">
              <w:rPr>
                <w:rFonts w:ascii="Garamond" w:hAnsi="Garamond"/>
                <w:sz w:val="22"/>
                <w:szCs w:val="22"/>
              </w:rPr>
              <w:object w:dxaOrig="465" w:dyaOrig="375" w14:anchorId="7A1025FE">
                <v:shape id="_x0000_i1028" type="#_x0000_t75" style="width:23.5pt;height:19pt" o:ole="">
                  <v:imagedata r:id="rId6" o:title=""/>
                </v:shape>
                <o:OLEObject Type="Embed" ProgID="Equation.3" ShapeID="_x0000_i1028" DrawAspect="Content" ObjectID="_1759954643" r:id="rId9"/>
              </w:object>
            </w:r>
            <w:r w:rsidRPr="00C9585A">
              <w:rPr>
                <w:rFonts w:ascii="Garamond" w:hAnsi="Garamond"/>
                <w:sz w:val="22"/>
                <w:szCs w:val="22"/>
              </w:rPr>
              <w:t xml:space="preserve"> – рентабельность продаж организации, осуществляющей </w:t>
            </w:r>
            <w:r w:rsidRPr="00C9585A">
              <w:rPr>
                <w:rFonts w:ascii="Garamond" w:hAnsi="Garamond"/>
                <w:sz w:val="22"/>
                <w:szCs w:val="22"/>
              </w:rPr>
              <w:tab/>
              <w:t>экспортно-импортные операции, рассчитываемая в соответствии с формулой:</w:t>
            </w:r>
          </w:p>
          <w:p w14:paraId="10161B29" w14:textId="77777777" w:rsidR="00C06ABD" w:rsidRPr="00C9585A" w:rsidRDefault="00EC706C" w:rsidP="00520530">
            <w:pPr>
              <w:spacing w:before="120" w:after="120"/>
              <w:ind w:left="1985"/>
              <w:jc w:val="both"/>
              <w:rPr>
                <w:rFonts w:ascii="Garamond" w:hAnsi="Garamond"/>
                <w:bCs/>
                <w:sz w:val="22"/>
                <w:szCs w:val="22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=0,045+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US"/>
                </w:rPr>
                <m:t>Кпошлина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+0,007*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D,x1,s,z,m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ДД</m:t>
                          </m:r>
                        </m:sup>
                      </m:sSub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,p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эксп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∈z=2</m:t>
                      </m:r>
                    </m:sub>
                    <m:sup/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h∈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,p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z,h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С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i,</m:t>
                              </m:r>
                              <m:nary>
                                <m:naryPr>
                                  <m:chr m:val="∑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(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эксп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)</m:t>
                                  </m:r>
                                </m:e>
                              </m:nary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Garamond" w:hAnsi="Garamond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m:t>z,m</m:t>
                              </m:r>
                              <m:ctrlPr>
                                <w:rPr>
                                  <w:rFonts w:ascii="Cambria Math" w:hAnsi="Cambria Math"/>
                                  <w:bCs/>
                                  <w:sz w:val="22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баланс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C06ABD" w:rsidRPr="00C9585A">
              <w:rPr>
                <w:rFonts w:ascii="Garamond" w:hAnsi="Garamond"/>
                <w:bCs/>
                <w:sz w:val="22"/>
                <w:szCs w:val="22"/>
                <w:lang w:val="en-US"/>
              </w:rPr>
              <w:t>,</w:t>
            </w:r>
          </w:p>
          <w:p w14:paraId="3B1CB322" w14:textId="74F8DB39" w:rsidR="00C06ABD" w:rsidRPr="00C9585A" w:rsidRDefault="00C06ABD" w:rsidP="00520530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КО применяет </w:t>
            </w:r>
            <w:proofErr w:type="spellStart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Кпошлина</w:t>
            </w:r>
            <w:proofErr w:type="spellEnd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в размере, равном ставке вывозной таможенной пошлины на товары, указанные в пункте 1 постановления Правительства Российской Федерации от 21 сентября 2023 г. № 1538 (выраженной в долях), для соответствующего расчетного периода, размещенные Министерством экономического развития Российской Федерации на своем официальном сайте в информаци</w:t>
            </w:r>
            <w:r w:rsidR="007B0E97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онно-телекоммуникационной сети «Интернет» (далее </w:t>
            </w:r>
            <w:r w:rsidR="007B0E97" w:rsidRPr="007B0E97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7B0E97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сеть «Интернет»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).</w:t>
            </w:r>
            <w:r w:rsidRPr="00C9585A">
              <w:rPr>
                <w:rFonts w:ascii="Garamond" w:hAnsi="Garamond" w:cs="Garamond"/>
                <w:sz w:val="22"/>
                <w:szCs w:val="22"/>
                <w:lang w:bidi="ar-SA"/>
              </w:rPr>
              <w:t xml:space="preserve"> </w:t>
            </w:r>
          </w:p>
          <w:p w14:paraId="571104E1" w14:textId="2F7CA6F4" w:rsidR="00C06ABD" w:rsidRPr="00C9585A" w:rsidRDefault="00C06ABD" w:rsidP="00772FD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9585A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отсутствия на 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официальном </w:t>
            </w:r>
            <w:r w:rsidRPr="00C9585A">
              <w:rPr>
                <w:rFonts w:ascii="Garamond" w:hAnsi="Garamond"/>
                <w:sz w:val="22"/>
                <w:szCs w:val="22"/>
                <w:highlight w:val="yellow"/>
              </w:rPr>
              <w:t xml:space="preserve">сайте 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Министерства экономического развития Российской Федерации в </w:t>
            </w:r>
            <w:bookmarkStart w:id="0" w:name="_GoBack"/>
            <w:bookmarkEnd w:id="0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информаци</w:t>
            </w:r>
            <w:r w:rsidR="007B0E97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онно-телекоммуникационной сети «Интернет»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ст</w:t>
            </w:r>
            <w:r w:rsidR="00772FDB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авок вывозных таможенных пошлин</w:t>
            </w:r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на товары, указанные в пункте 1 постановления Правительства Российской Федерации от 21 сентября 2023 г. № 1538, для соответствующего расчетного периода, по причине прекращения действия постановления Правительства Российской Федерации от 21 сентября 2023 г. № 1538 </w:t>
            </w:r>
            <w:proofErr w:type="spellStart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>Кпошлина</w:t>
            </w:r>
            <w:proofErr w:type="spellEnd"/>
            <w:r w:rsidRPr="00C9585A">
              <w:rPr>
                <w:rFonts w:ascii="Garamond" w:hAnsi="Garamond" w:cs="Garamond"/>
                <w:sz w:val="22"/>
                <w:szCs w:val="22"/>
                <w:highlight w:val="yellow"/>
                <w:lang w:bidi="ar-SA"/>
              </w:rPr>
              <w:t xml:space="preserve"> принимается равной нулю.</w:t>
            </w:r>
          </w:p>
        </w:tc>
      </w:tr>
    </w:tbl>
    <w:p w14:paraId="4D98E84A" w14:textId="77777777" w:rsidR="00607F40" w:rsidRDefault="00607F40"/>
    <w:sectPr w:rsidR="00607F40" w:rsidSect="00A544A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ABD"/>
    <w:rsid w:val="000B55FD"/>
    <w:rsid w:val="000D2A54"/>
    <w:rsid w:val="00461F1C"/>
    <w:rsid w:val="00607F40"/>
    <w:rsid w:val="00772FDB"/>
    <w:rsid w:val="007B0E97"/>
    <w:rsid w:val="00860C2A"/>
    <w:rsid w:val="00961C32"/>
    <w:rsid w:val="00A544A7"/>
    <w:rsid w:val="00C06ABD"/>
    <w:rsid w:val="00C1219A"/>
    <w:rsid w:val="00C1348A"/>
    <w:rsid w:val="00C303B7"/>
    <w:rsid w:val="00C9585A"/>
    <w:rsid w:val="00D314E9"/>
    <w:rsid w:val="00EC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EEA2CFA"/>
  <w15:chartTrackingRefBased/>
  <w15:docId w15:val="{9E30CFC3-C43B-49F0-9C0B-9CB1FD73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ABD"/>
    <w:pPr>
      <w:spacing w:after="0" w:line="240" w:lineRule="auto"/>
    </w:pPr>
    <w:rPr>
      <w:rFonts w:ascii="Times New Roman" w:hAnsi="Times New Roman"/>
      <w:sz w:val="28"/>
      <w:szCs w:val="24"/>
      <w:lang w:bidi="he-IL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C06ABD"/>
    <w:pPr>
      <w:widowControl w:val="0"/>
      <w:spacing w:before="120" w:after="120"/>
      <w:ind w:left="218" w:firstLine="283"/>
      <w:jc w:val="both"/>
      <w:outlineLvl w:val="2"/>
    </w:pPr>
    <w:rPr>
      <w:rFonts w:ascii="Garamond" w:eastAsia="Times New Roman" w:hAnsi="Garamond" w:cs="Times New Roman"/>
      <w:b/>
      <w:color w:val="000000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C06ABD"/>
    <w:rPr>
      <w:rFonts w:ascii="Garamond" w:eastAsia="Times New Roman" w:hAnsi="Garamond" w:cs="Times New Roman"/>
      <w:b/>
      <w:color w:val="000000"/>
    </w:rPr>
  </w:style>
  <w:style w:type="table" w:styleId="a3">
    <w:name w:val="Table Grid"/>
    <w:basedOn w:val="a1"/>
    <w:uiPriority w:val="39"/>
    <w:rsid w:val="00C06ABD"/>
    <w:pPr>
      <w:spacing w:after="0" w:line="240" w:lineRule="auto"/>
    </w:pPr>
    <w:rPr>
      <w:sz w:val="24"/>
      <w:szCs w:val="24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Кирилл Александрович</dc:creator>
  <cp:keywords/>
  <dc:description/>
  <cp:lastModifiedBy>Гирина Марина Владимировна</cp:lastModifiedBy>
  <cp:revision>18</cp:revision>
  <dcterms:created xsi:type="dcterms:W3CDTF">2023-10-04T12:05:00Z</dcterms:created>
  <dcterms:modified xsi:type="dcterms:W3CDTF">2023-10-27T07:52:00Z</dcterms:modified>
</cp:coreProperties>
</file>