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C1" w:rsidRPr="00BA366E" w:rsidRDefault="00D340C1" w:rsidP="00D340C1">
      <w:pPr>
        <w:jc w:val="center"/>
        <w:rPr>
          <w:b/>
          <w:sz w:val="28"/>
          <w:szCs w:val="28"/>
        </w:rPr>
      </w:pPr>
      <w:r w:rsidRPr="008613F1">
        <w:rPr>
          <w:b/>
          <w:sz w:val="28"/>
          <w:szCs w:val="28"/>
        </w:rPr>
        <w:t>ПОЯСНИТЕЛЬНАЯ ЗАПИСКА</w:t>
      </w:r>
    </w:p>
    <w:p w:rsidR="00D340C1" w:rsidRDefault="00D340C1" w:rsidP="00D340C1">
      <w:pPr>
        <w:jc w:val="center"/>
        <w:rPr>
          <w:sz w:val="28"/>
          <w:szCs w:val="28"/>
        </w:rPr>
      </w:pPr>
    </w:p>
    <w:p w:rsidR="00D340C1" w:rsidRPr="00564A3C" w:rsidRDefault="00D340C1" w:rsidP="00D340C1">
      <w:pPr>
        <w:autoSpaceDE w:val="0"/>
        <w:autoSpaceDN w:val="0"/>
        <w:adjustRightInd w:val="0"/>
        <w:ind w:right="97"/>
        <w:jc w:val="center"/>
        <w:rPr>
          <w:b/>
          <w:bCs/>
          <w:sz w:val="28"/>
          <w:szCs w:val="28"/>
        </w:rPr>
      </w:pPr>
      <w:r w:rsidRPr="00564A3C">
        <w:rPr>
          <w:b/>
          <w:bCs/>
          <w:sz w:val="28"/>
          <w:szCs w:val="28"/>
        </w:rPr>
        <w:t>к проект</w:t>
      </w:r>
      <w:r>
        <w:rPr>
          <w:b/>
          <w:bCs/>
          <w:sz w:val="28"/>
          <w:szCs w:val="28"/>
        </w:rPr>
        <w:t>у</w:t>
      </w:r>
      <w:r w:rsidRPr="00564A3C">
        <w:rPr>
          <w:b/>
          <w:bCs/>
          <w:sz w:val="28"/>
          <w:szCs w:val="28"/>
        </w:rPr>
        <w:t xml:space="preserve"> приказ</w:t>
      </w:r>
      <w:r>
        <w:rPr>
          <w:b/>
          <w:bCs/>
          <w:sz w:val="28"/>
          <w:szCs w:val="28"/>
        </w:rPr>
        <w:t>а</w:t>
      </w:r>
      <w:r w:rsidRPr="00564A3C">
        <w:rPr>
          <w:b/>
          <w:bCs/>
          <w:sz w:val="28"/>
          <w:szCs w:val="28"/>
        </w:rPr>
        <w:t xml:space="preserve"> ФСТ России </w:t>
      </w:r>
      <w:r>
        <w:rPr>
          <w:b/>
          <w:bCs/>
          <w:sz w:val="28"/>
          <w:szCs w:val="28"/>
        </w:rPr>
        <w:t>«Об утверждении предельных уровней тарифов на услуги по передаче электрической энергии по субъектам Российской Федерации на 2014 год»</w:t>
      </w:r>
    </w:p>
    <w:p w:rsidR="00D340C1" w:rsidRDefault="00D340C1" w:rsidP="00680CDB">
      <w:pPr>
        <w:spacing w:after="120"/>
        <w:jc w:val="both"/>
        <w:rPr>
          <w:sz w:val="28"/>
          <w:szCs w:val="28"/>
        </w:rPr>
      </w:pPr>
    </w:p>
    <w:p w:rsidR="00763B65" w:rsidRDefault="00D340C1" w:rsidP="00680CD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Расчет предельных уровней тарифов</w:t>
      </w:r>
      <w:r w:rsidR="005A12E7">
        <w:rPr>
          <w:sz w:val="28"/>
          <w:szCs w:val="28"/>
        </w:rPr>
        <w:t xml:space="preserve"> на услуги по передаче электрической энергии</w:t>
      </w:r>
      <w:r>
        <w:rPr>
          <w:sz w:val="28"/>
          <w:szCs w:val="28"/>
        </w:rPr>
        <w:t xml:space="preserve"> на 201</w:t>
      </w:r>
      <w:r w:rsidR="00F5761A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произведен </w:t>
      </w:r>
      <w:r w:rsidRPr="00097CB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F5761A">
        <w:rPr>
          <w:sz w:val="28"/>
          <w:szCs w:val="28"/>
        </w:rPr>
        <w:t xml:space="preserve">с </w:t>
      </w:r>
      <w:r w:rsidR="00630FF3">
        <w:rPr>
          <w:sz w:val="28"/>
          <w:szCs w:val="28"/>
        </w:rPr>
        <w:t xml:space="preserve">требованиями </w:t>
      </w:r>
      <w:r w:rsidR="00F5761A">
        <w:rPr>
          <w:sz w:val="28"/>
          <w:szCs w:val="28"/>
        </w:rPr>
        <w:t>Федеральн</w:t>
      </w:r>
      <w:r w:rsidR="00630FF3">
        <w:rPr>
          <w:sz w:val="28"/>
          <w:szCs w:val="28"/>
        </w:rPr>
        <w:t>ого</w:t>
      </w:r>
      <w:r w:rsidR="00F5761A">
        <w:rPr>
          <w:sz w:val="28"/>
          <w:szCs w:val="28"/>
        </w:rPr>
        <w:t xml:space="preserve"> закон</w:t>
      </w:r>
      <w:r w:rsidR="00630FF3">
        <w:rPr>
          <w:sz w:val="28"/>
          <w:szCs w:val="28"/>
        </w:rPr>
        <w:t>а</w:t>
      </w:r>
      <w:r w:rsidR="00F5761A">
        <w:rPr>
          <w:sz w:val="28"/>
          <w:szCs w:val="28"/>
        </w:rPr>
        <w:t xml:space="preserve"> от 26.03.2003</w:t>
      </w:r>
      <w:r w:rsidR="00047950">
        <w:rPr>
          <w:sz w:val="28"/>
          <w:szCs w:val="28"/>
        </w:rPr>
        <w:t xml:space="preserve"> </w:t>
      </w:r>
      <w:r w:rsidR="00630FF3">
        <w:rPr>
          <w:sz w:val="28"/>
          <w:szCs w:val="28"/>
        </w:rPr>
        <w:t xml:space="preserve"> </w:t>
      </w:r>
      <w:r w:rsidR="00F5761A">
        <w:rPr>
          <w:sz w:val="28"/>
          <w:szCs w:val="28"/>
        </w:rPr>
        <w:t>№ 35-ФЗ «Об электроэнергетике»</w:t>
      </w:r>
      <w:r w:rsidR="00711663">
        <w:rPr>
          <w:sz w:val="28"/>
          <w:szCs w:val="28"/>
        </w:rPr>
        <w:t xml:space="preserve"> </w:t>
      </w:r>
      <w:r w:rsidR="00732E6C">
        <w:rPr>
          <w:sz w:val="28"/>
          <w:szCs w:val="28"/>
        </w:rPr>
        <w:t>(</w:t>
      </w:r>
      <w:r w:rsidR="00732E6C" w:rsidRPr="00732E6C">
        <w:rPr>
          <w:color w:val="000000" w:themeColor="text1"/>
          <w:sz w:val="28"/>
          <w:szCs w:val="28"/>
        </w:rPr>
        <w:t xml:space="preserve">в ред. </w:t>
      </w:r>
      <w:r w:rsidR="00732E6C" w:rsidRPr="00732E6C">
        <w:rPr>
          <w:rFonts w:eastAsiaTheme="minorHAnsi"/>
          <w:color w:val="000000" w:themeColor="text1"/>
          <w:sz w:val="28"/>
          <w:szCs w:val="28"/>
          <w:lang w:eastAsia="en-US"/>
        </w:rPr>
        <w:t>от 06.11.2013</w:t>
      </w:r>
      <w:r w:rsidR="0004795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30FF3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hyperlink r:id="rId5" w:history="1">
        <w:r w:rsidR="00732E6C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№ </w:t>
        </w:r>
        <w:r w:rsidR="00732E6C" w:rsidRPr="00732E6C">
          <w:rPr>
            <w:rFonts w:eastAsiaTheme="minorHAnsi"/>
            <w:color w:val="000000" w:themeColor="text1"/>
            <w:sz w:val="28"/>
            <w:szCs w:val="28"/>
            <w:lang w:eastAsia="en-US"/>
          </w:rPr>
          <w:t>308-ФЗ</w:t>
        </w:r>
      </w:hyperlink>
      <w:r w:rsidR="00732E6C" w:rsidRPr="00732E6C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732E6C" w:rsidRPr="00732E6C">
        <w:rPr>
          <w:rFonts w:eastAsiaTheme="minorHAnsi"/>
          <w:color w:val="000000" w:themeColor="text1"/>
          <w:lang w:eastAsia="en-US"/>
        </w:rPr>
        <w:t xml:space="preserve"> </w:t>
      </w:r>
      <w:r w:rsidR="00711663">
        <w:rPr>
          <w:sz w:val="28"/>
          <w:szCs w:val="28"/>
        </w:rPr>
        <w:t>(далее – Федеральный закон)</w:t>
      </w:r>
      <w:r w:rsidR="00F5761A">
        <w:rPr>
          <w:sz w:val="28"/>
          <w:szCs w:val="28"/>
        </w:rPr>
        <w:t xml:space="preserve">, </w:t>
      </w:r>
      <w:r>
        <w:rPr>
          <w:sz w:val="28"/>
          <w:szCs w:val="28"/>
        </w:rPr>
        <w:t>Основ ценообразования в области регулируемых цен (тарифов</w:t>
      </w:r>
      <w:r w:rsidR="00F5761A">
        <w:rPr>
          <w:sz w:val="28"/>
          <w:szCs w:val="28"/>
        </w:rPr>
        <w:t>)</w:t>
      </w:r>
      <w:r>
        <w:rPr>
          <w:sz w:val="28"/>
          <w:szCs w:val="28"/>
        </w:rPr>
        <w:t xml:space="preserve"> в электроэнергетике, утвержденны</w:t>
      </w:r>
      <w:r w:rsidR="00630FF3">
        <w:rPr>
          <w:sz w:val="28"/>
          <w:szCs w:val="28"/>
        </w:rPr>
        <w:t>х</w:t>
      </w:r>
      <w:r>
        <w:rPr>
          <w:sz w:val="28"/>
          <w:szCs w:val="28"/>
        </w:rPr>
        <w:t xml:space="preserve"> постановлением Правительства Российской Федерации от 29.12.2011г. №1178</w:t>
      </w:r>
      <w:r w:rsidR="00246DE1">
        <w:rPr>
          <w:sz w:val="28"/>
          <w:szCs w:val="28"/>
        </w:rPr>
        <w:t xml:space="preserve"> (далее – Основы ценообразования)</w:t>
      </w:r>
      <w:r>
        <w:rPr>
          <w:sz w:val="28"/>
          <w:szCs w:val="28"/>
        </w:rPr>
        <w:t>, Методическими указаниями по расчету регулируемых тарифов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цен на электрическую (тепловую) энергию на розничном (потребительском) рынке,</w:t>
      </w:r>
      <w:r w:rsidR="0033130F">
        <w:rPr>
          <w:sz w:val="28"/>
          <w:szCs w:val="28"/>
        </w:rPr>
        <w:t xml:space="preserve"> утвержденными приказом  ФСТ России от 06.08.2004г.  № 20-э</w:t>
      </w:r>
      <w:r w:rsidR="0033130F" w:rsidRPr="0033130F">
        <w:rPr>
          <w:sz w:val="28"/>
          <w:szCs w:val="28"/>
        </w:rPr>
        <w:t>/</w:t>
      </w:r>
      <w:r w:rsidR="0033130F">
        <w:rPr>
          <w:sz w:val="28"/>
          <w:szCs w:val="28"/>
        </w:rPr>
        <w:t>2,</w:t>
      </w:r>
      <w:r>
        <w:rPr>
          <w:sz w:val="28"/>
          <w:szCs w:val="28"/>
        </w:rPr>
        <w:t xml:space="preserve"> а также Прогнозом</w:t>
      </w:r>
      <w:r w:rsidRPr="00097CB0">
        <w:rPr>
          <w:sz w:val="28"/>
          <w:szCs w:val="28"/>
        </w:rPr>
        <w:t xml:space="preserve"> социально-экономического развития Российской Федерации на </w:t>
      </w:r>
      <w:r>
        <w:rPr>
          <w:sz w:val="28"/>
          <w:szCs w:val="28"/>
        </w:rPr>
        <w:t>201</w:t>
      </w:r>
      <w:r w:rsidR="00512A8F">
        <w:rPr>
          <w:sz w:val="28"/>
          <w:szCs w:val="28"/>
        </w:rPr>
        <w:t>4</w:t>
      </w:r>
      <w:r w:rsidR="00047950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201</w:t>
      </w:r>
      <w:r w:rsidR="00512A8F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512A8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  <w:r w:rsidR="00711663">
        <w:rPr>
          <w:rFonts w:eastAsiaTheme="minorHAnsi"/>
          <w:sz w:val="28"/>
          <w:szCs w:val="28"/>
          <w:lang w:eastAsia="en-US"/>
        </w:rPr>
        <w:t>исходя из отсутствия увеличения совокупного размера необходимой валовой выручки регулируемых организаций при установлении (пересмотре) цен (тарифов) по отношению к размеру соответствующей выручки, учтенной при расчете указанных</w:t>
      </w:r>
      <w:proofErr w:type="gramEnd"/>
      <w:r w:rsidR="00711663">
        <w:rPr>
          <w:rFonts w:eastAsiaTheme="minorHAnsi"/>
          <w:sz w:val="28"/>
          <w:szCs w:val="28"/>
          <w:lang w:eastAsia="en-US"/>
        </w:rPr>
        <w:t xml:space="preserve"> цен (тарифов), подлежащих применению с 1 июля 2013 г., а в субъектах Российской Федерации, в отношении </w:t>
      </w:r>
      <w:r w:rsidR="00711663" w:rsidRPr="007116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которых приняты изменения в соответствии с </w:t>
      </w:r>
      <w:r w:rsidR="007116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</w:t>
      </w:r>
      <w:hyperlink r:id="rId6" w:history="1">
        <w:r w:rsidR="00711663" w:rsidRPr="00711663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«и» пункта 5</w:t>
        </w:r>
      </w:hyperlink>
      <w:r w:rsidR="00711663" w:rsidRPr="007116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постановления Правительства Российской Федерации от 29 декабря 2011 г. № 1178, - с 1 сентября 2013 г.</w:t>
      </w:r>
    </w:p>
    <w:p w:rsidR="00763B65" w:rsidRDefault="00763B65" w:rsidP="00680C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11663" w:rsidRPr="00D45FED" w:rsidRDefault="00074B13" w:rsidP="00D45FED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 w:rsidRPr="00D45FED">
        <w:rPr>
          <w:rFonts w:eastAsiaTheme="minorHAnsi"/>
          <w:sz w:val="28"/>
          <w:szCs w:val="28"/>
          <w:lang w:eastAsia="en-US"/>
        </w:rPr>
        <w:t>П</w:t>
      </w:r>
      <w:r w:rsidR="00711663" w:rsidRPr="00D45FED">
        <w:rPr>
          <w:rFonts w:eastAsiaTheme="minorHAnsi"/>
          <w:sz w:val="28"/>
          <w:szCs w:val="28"/>
          <w:lang w:eastAsia="en-US"/>
        </w:rPr>
        <w:t xml:space="preserve">редельные максимальные уровни тарифов на услуги </w:t>
      </w:r>
      <w:r w:rsidR="00711663" w:rsidRPr="00D45FED">
        <w:rPr>
          <w:rFonts w:eastAsia="Calibri"/>
          <w:sz w:val="28"/>
          <w:szCs w:val="28"/>
        </w:rPr>
        <w:t xml:space="preserve">по передаче электрической энергии </w:t>
      </w:r>
      <w:r w:rsidRPr="00D45FED">
        <w:rPr>
          <w:rFonts w:eastAsia="Calibri"/>
          <w:sz w:val="28"/>
          <w:szCs w:val="28"/>
        </w:rPr>
        <w:t>по субъектам Российской Федерации</w:t>
      </w:r>
      <w:r w:rsidRPr="00D45FED">
        <w:rPr>
          <w:rFonts w:eastAsiaTheme="minorHAnsi"/>
          <w:sz w:val="28"/>
          <w:szCs w:val="28"/>
          <w:lang w:eastAsia="en-US"/>
        </w:rPr>
        <w:t xml:space="preserve"> на 1 полугодие 2014 года </w:t>
      </w:r>
      <w:r w:rsidR="00732E6C" w:rsidRPr="00D45FED">
        <w:rPr>
          <w:rFonts w:eastAsia="Calibri"/>
          <w:sz w:val="28"/>
          <w:szCs w:val="28"/>
        </w:rPr>
        <w:t>определены</w:t>
      </w:r>
      <w:r w:rsidR="000A5ADF" w:rsidRPr="00D45FED">
        <w:rPr>
          <w:rFonts w:eastAsia="Calibri"/>
          <w:sz w:val="28"/>
          <w:szCs w:val="28"/>
        </w:rPr>
        <w:t xml:space="preserve"> следующим образом</w:t>
      </w:r>
      <w:r w:rsidR="00711663" w:rsidRPr="00D45FED">
        <w:rPr>
          <w:rFonts w:eastAsia="Calibri"/>
          <w:sz w:val="28"/>
          <w:szCs w:val="28"/>
        </w:rPr>
        <w:t>:</w:t>
      </w:r>
    </w:p>
    <w:p w:rsidR="00D45FED" w:rsidRPr="00D45FED" w:rsidRDefault="00D45FED" w:rsidP="00D45F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A5ADF" w:rsidRDefault="00711663" w:rsidP="00246D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а) для субъектов Российской Федерации, </w:t>
      </w:r>
      <w:r w:rsidR="008D4B22">
        <w:rPr>
          <w:rFonts w:eastAsia="Calibri"/>
          <w:sz w:val="28"/>
          <w:szCs w:val="28"/>
        </w:rPr>
        <w:t>указанны</w:t>
      </w:r>
      <w:r w:rsidR="00F92CDE">
        <w:rPr>
          <w:rFonts w:eastAsia="Calibri"/>
          <w:sz w:val="28"/>
          <w:szCs w:val="28"/>
        </w:rPr>
        <w:t>х</w:t>
      </w:r>
      <w:r w:rsidR="008D4B22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 xml:space="preserve"> Федеральн</w:t>
      </w:r>
      <w:r w:rsidR="008D4B22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закон</w:t>
      </w:r>
      <w:r w:rsidR="008D4B22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, </w:t>
      </w:r>
      <w:r w:rsidR="00186F12">
        <w:rPr>
          <w:rFonts w:eastAsia="Calibri"/>
          <w:sz w:val="28"/>
          <w:szCs w:val="28"/>
        </w:rPr>
        <w:t xml:space="preserve">а именно: </w:t>
      </w:r>
      <w:proofErr w:type="gramStart"/>
      <w:r w:rsidR="00566922" w:rsidRPr="000A5ADF">
        <w:rPr>
          <w:color w:val="000000"/>
          <w:sz w:val="28"/>
          <w:szCs w:val="28"/>
        </w:rPr>
        <w:t>Белгородская область</w:t>
      </w:r>
      <w:r w:rsidR="00566922">
        <w:rPr>
          <w:color w:val="000000"/>
          <w:sz w:val="28"/>
          <w:szCs w:val="28"/>
        </w:rPr>
        <w:t xml:space="preserve">, </w:t>
      </w:r>
      <w:r w:rsidR="00566922" w:rsidRPr="000A5ADF">
        <w:rPr>
          <w:color w:val="000000"/>
          <w:sz w:val="28"/>
          <w:szCs w:val="28"/>
        </w:rPr>
        <w:t>Брянская область</w:t>
      </w:r>
      <w:r w:rsidR="00566922">
        <w:rPr>
          <w:color w:val="000000"/>
          <w:sz w:val="28"/>
          <w:szCs w:val="28"/>
        </w:rPr>
        <w:t>,</w:t>
      </w:r>
      <w:r w:rsidR="00566922" w:rsidRPr="000A5ADF">
        <w:rPr>
          <w:color w:val="000000"/>
          <w:sz w:val="28"/>
          <w:szCs w:val="28"/>
        </w:rPr>
        <w:t xml:space="preserve"> Владимирская область</w:t>
      </w:r>
      <w:r w:rsidR="00566922">
        <w:rPr>
          <w:color w:val="000000"/>
          <w:sz w:val="28"/>
          <w:szCs w:val="28"/>
        </w:rPr>
        <w:t>,</w:t>
      </w:r>
      <w:r w:rsidR="00566922" w:rsidRPr="000A5ADF">
        <w:rPr>
          <w:color w:val="000000"/>
          <w:sz w:val="28"/>
          <w:szCs w:val="28"/>
        </w:rPr>
        <w:t xml:space="preserve"> Ивановская область</w:t>
      </w:r>
      <w:r w:rsidR="00566922">
        <w:rPr>
          <w:color w:val="000000"/>
          <w:sz w:val="28"/>
          <w:szCs w:val="28"/>
        </w:rPr>
        <w:t>,</w:t>
      </w:r>
      <w:r w:rsidR="00566922" w:rsidRPr="000A5ADF">
        <w:rPr>
          <w:color w:val="000000"/>
          <w:sz w:val="28"/>
          <w:szCs w:val="28"/>
        </w:rPr>
        <w:t xml:space="preserve"> Костромская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 w:rsidRPr="000A5ADF">
        <w:rPr>
          <w:color w:val="000000"/>
          <w:sz w:val="28"/>
          <w:szCs w:val="28"/>
        </w:rPr>
        <w:t xml:space="preserve"> Курская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 w:rsidRPr="000A5ADF">
        <w:rPr>
          <w:color w:val="000000"/>
          <w:sz w:val="28"/>
          <w:szCs w:val="28"/>
        </w:rPr>
        <w:t xml:space="preserve"> Липецкая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 w:rsidRPr="000A5ADF">
        <w:rPr>
          <w:color w:val="000000"/>
          <w:sz w:val="28"/>
          <w:szCs w:val="28"/>
        </w:rPr>
        <w:t xml:space="preserve"> </w:t>
      </w:r>
      <w:r w:rsidR="00566922">
        <w:rPr>
          <w:color w:val="000000"/>
          <w:sz w:val="28"/>
          <w:szCs w:val="28"/>
        </w:rPr>
        <w:t>О</w:t>
      </w:r>
      <w:r w:rsidR="00566922" w:rsidRPr="000A5ADF">
        <w:rPr>
          <w:color w:val="000000"/>
          <w:sz w:val="28"/>
          <w:szCs w:val="28"/>
        </w:rPr>
        <w:t>рловская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Смоленская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Тамбовская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Тульская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Ярославская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Республика Карелия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Республика Коми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Вологодская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Ленинградская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г.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Санкт-Петербург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Краснодарский край (</w:t>
      </w:r>
      <w:r w:rsidR="00566922" w:rsidRPr="000A5ADF">
        <w:rPr>
          <w:color w:val="000000"/>
          <w:sz w:val="28"/>
          <w:szCs w:val="28"/>
        </w:rPr>
        <w:t>Республика Адыгея</w:t>
      </w:r>
      <w:r w:rsidR="00566922">
        <w:rPr>
          <w:color w:val="000000"/>
          <w:sz w:val="28"/>
          <w:szCs w:val="28"/>
        </w:rPr>
        <w:t xml:space="preserve">), </w:t>
      </w:r>
      <w:r w:rsidR="00566922" w:rsidRPr="000A5ADF">
        <w:rPr>
          <w:color w:val="000000"/>
          <w:sz w:val="28"/>
          <w:szCs w:val="28"/>
        </w:rPr>
        <w:t>Астраханская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Волгоградская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Ростовская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Республика Марий Эл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Республика Мордовия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Удмуртская республика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Чувашская республика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Нижегородская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Оренбургская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Пермский край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Самарская</w:t>
      </w:r>
      <w:proofErr w:type="gramEnd"/>
      <w:r w:rsidR="00566922" w:rsidRPr="000A5ADF">
        <w:rPr>
          <w:color w:val="000000"/>
          <w:sz w:val="28"/>
          <w:szCs w:val="28"/>
        </w:rPr>
        <w:t xml:space="preserve"> </w:t>
      </w:r>
      <w:r w:rsidR="00566922">
        <w:rPr>
          <w:color w:val="000000"/>
          <w:sz w:val="28"/>
          <w:szCs w:val="28"/>
        </w:rPr>
        <w:t xml:space="preserve"> </w:t>
      </w:r>
      <w:proofErr w:type="gramStart"/>
      <w:r w:rsidR="00566922">
        <w:rPr>
          <w:color w:val="000000"/>
          <w:sz w:val="28"/>
          <w:szCs w:val="28"/>
        </w:rPr>
        <w:t>о</w:t>
      </w:r>
      <w:r w:rsidR="00566922" w:rsidRPr="000A5ADF">
        <w:rPr>
          <w:color w:val="000000"/>
          <w:sz w:val="28"/>
          <w:szCs w:val="28"/>
        </w:rPr>
        <w:t>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Ульяновская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Свердловская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Тюменская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Челябинская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Республика Тыва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Республика Хакасия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 xml:space="preserve">Хабаровский 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рай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Красноярский край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Кемеровская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 w:rsidRPr="000A5ADF">
        <w:rPr>
          <w:color w:val="000000"/>
          <w:sz w:val="28"/>
          <w:szCs w:val="28"/>
        </w:rPr>
        <w:t xml:space="preserve"> 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Томская область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Приморский край</w:t>
      </w:r>
      <w:r w:rsidR="00566922" w:rsidRPr="00D37933">
        <w:rPr>
          <w:color w:val="000000"/>
          <w:sz w:val="28"/>
          <w:szCs w:val="28"/>
        </w:rPr>
        <w:t>,</w:t>
      </w:r>
      <w:r w:rsidR="00566922">
        <w:rPr>
          <w:color w:val="000000"/>
          <w:sz w:val="28"/>
          <w:szCs w:val="28"/>
        </w:rPr>
        <w:t xml:space="preserve"> </w:t>
      </w:r>
      <w:r w:rsidR="00566922" w:rsidRPr="000A5ADF">
        <w:rPr>
          <w:color w:val="000000"/>
          <w:sz w:val="28"/>
          <w:szCs w:val="28"/>
        </w:rPr>
        <w:t>Алтайский край</w:t>
      </w:r>
      <w:r w:rsidR="008D4B22">
        <w:rPr>
          <w:color w:val="000000"/>
          <w:sz w:val="28"/>
          <w:szCs w:val="28"/>
        </w:rPr>
        <w:t xml:space="preserve"> -</w:t>
      </w:r>
      <w:r w:rsidR="00566922">
        <w:rPr>
          <w:color w:val="000000"/>
          <w:sz w:val="28"/>
          <w:szCs w:val="28"/>
        </w:rPr>
        <w:t xml:space="preserve"> </w:t>
      </w:r>
      <w:r w:rsidR="000A5ADF">
        <w:rPr>
          <w:rFonts w:eastAsiaTheme="minorHAnsi"/>
          <w:sz w:val="28"/>
          <w:szCs w:val="28"/>
          <w:lang w:eastAsia="en-US"/>
        </w:rPr>
        <w:t xml:space="preserve">предельные максимальные уровни тарифов на услуги </w:t>
      </w:r>
      <w:r w:rsidR="000A5ADF" w:rsidRPr="00E5495B">
        <w:rPr>
          <w:rFonts w:eastAsia="Calibri"/>
          <w:sz w:val="28"/>
          <w:szCs w:val="28"/>
        </w:rPr>
        <w:t>по передаче электрической энергии</w:t>
      </w:r>
      <w:r w:rsidR="000A5ADF">
        <w:rPr>
          <w:rFonts w:eastAsia="Calibri"/>
          <w:sz w:val="28"/>
          <w:szCs w:val="28"/>
        </w:rPr>
        <w:t xml:space="preserve"> </w:t>
      </w:r>
      <w:r w:rsidR="00732E6C">
        <w:rPr>
          <w:rFonts w:eastAsia="Calibri"/>
          <w:sz w:val="28"/>
          <w:szCs w:val="28"/>
        </w:rPr>
        <w:t xml:space="preserve">приняты </w:t>
      </w:r>
      <w:r w:rsidR="000A5ADF">
        <w:rPr>
          <w:rFonts w:eastAsia="Calibri"/>
          <w:sz w:val="28"/>
          <w:szCs w:val="28"/>
        </w:rPr>
        <w:t xml:space="preserve">исходя из </w:t>
      </w:r>
      <w:r w:rsidR="000A5ADF" w:rsidRPr="00716C04">
        <w:rPr>
          <w:rFonts w:eastAsia="Calibri"/>
          <w:sz w:val="28"/>
          <w:szCs w:val="28"/>
        </w:rPr>
        <w:t>увеличения</w:t>
      </w:r>
      <w:r w:rsidR="000A5ADF" w:rsidRPr="00716C04">
        <w:rPr>
          <w:bCs/>
          <w:sz w:val="28"/>
          <w:szCs w:val="28"/>
        </w:rPr>
        <w:t xml:space="preserve"> </w:t>
      </w:r>
      <w:r w:rsidR="00732E6C" w:rsidRPr="00716C04">
        <w:rPr>
          <w:rFonts w:eastAsiaTheme="minorHAnsi"/>
          <w:sz w:val="28"/>
          <w:szCs w:val="28"/>
          <w:lang w:eastAsia="en-US"/>
        </w:rPr>
        <w:t xml:space="preserve">утвержденных органами исполнительной власти субъектов Российской </w:t>
      </w:r>
      <w:r w:rsidR="00732E6C" w:rsidRPr="00716C04">
        <w:rPr>
          <w:rFonts w:eastAsiaTheme="minorHAnsi"/>
          <w:sz w:val="28"/>
          <w:szCs w:val="28"/>
          <w:lang w:eastAsia="en-US"/>
        </w:rPr>
        <w:lastRenderedPageBreak/>
        <w:t>Федерации в области государственного регулирования тарифов</w:t>
      </w:r>
      <w:r w:rsidR="00566922" w:rsidRPr="00716C04">
        <w:rPr>
          <w:rFonts w:eastAsiaTheme="minorHAnsi"/>
          <w:sz w:val="28"/>
          <w:szCs w:val="28"/>
          <w:lang w:eastAsia="en-US"/>
        </w:rPr>
        <w:t xml:space="preserve">     </w:t>
      </w:r>
      <w:r w:rsidR="00732E6C" w:rsidRPr="00716C04">
        <w:rPr>
          <w:rFonts w:eastAsiaTheme="minorHAnsi"/>
          <w:sz w:val="28"/>
          <w:szCs w:val="28"/>
          <w:lang w:eastAsia="en-US"/>
        </w:rPr>
        <w:t xml:space="preserve"> </w:t>
      </w:r>
      <w:r w:rsidR="00716C04">
        <w:rPr>
          <w:rFonts w:eastAsiaTheme="minorHAnsi"/>
          <w:sz w:val="28"/>
          <w:szCs w:val="28"/>
          <w:lang w:eastAsia="en-US"/>
        </w:rPr>
        <w:t xml:space="preserve">перечисленных субъектов Российской Федерации </w:t>
      </w:r>
      <w:r w:rsidR="00D202A2" w:rsidRPr="00716C04">
        <w:rPr>
          <w:rFonts w:eastAsiaTheme="minorHAnsi"/>
          <w:sz w:val="28"/>
          <w:szCs w:val="28"/>
          <w:lang w:eastAsia="en-US"/>
        </w:rPr>
        <w:t xml:space="preserve">(далее – органы регулирования) </w:t>
      </w:r>
      <w:r w:rsidR="00732E6C" w:rsidRPr="00716C04">
        <w:rPr>
          <w:rFonts w:eastAsiaTheme="minorHAnsi"/>
          <w:sz w:val="28"/>
          <w:szCs w:val="28"/>
          <w:lang w:eastAsia="en-US"/>
        </w:rPr>
        <w:t>единых (котловых</w:t>
      </w:r>
      <w:proofErr w:type="gramEnd"/>
      <w:r w:rsidR="00732E6C" w:rsidRPr="00716C04">
        <w:rPr>
          <w:rFonts w:eastAsiaTheme="minorHAnsi"/>
          <w:sz w:val="28"/>
          <w:szCs w:val="28"/>
          <w:lang w:eastAsia="en-US"/>
        </w:rPr>
        <w:t>) тарифов на услуги по передаче электрической энергии</w:t>
      </w:r>
      <w:r w:rsidR="000A5ADF" w:rsidRPr="00716C04">
        <w:rPr>
          <w:rFonts w:eastAsiaTheme="minorHAnsi"/>
          <w:sz w:val="28"/>
          <w:szCs w:val="28"/>
          <w:lang w:eastAsia="en-US"/>
        </w:rPr>
        <w:t xml:space="preserve"> на 31 декабря 2013 года</w:t>
      </w:r>
      <w:r w:rsidR="000A5ADF">
        <w:rPr>
          <w:rFonts w:eastAsiaTheme="minorHAnsi"/>
          <w:sz w:val="28"/>
          <w:szCs w:val="28"/>
          <w:lang w:eastAsia="en-US"/>
        </w:rPr>
        <w:t xml:space="preserve"> </w:t>
      </w:r>
      <w:r w:rsidR="00186F12">
        <w:rPr>
          <w:rFonts w:eastAsiaTheme="minorHAnsi"/>
          <w:sz w:val="28"/>
          <w:szCs w:val="28"/>
          <w:lang w:eastAsia="en-US"/>
        </w:rPr>
        <w:t>до 7%</w:t>
      </w:r>
      <w:r w:rsidR="00716C04">
        <w:rPr>
          <w:rFonts w:eastAsiaTheme="minorHAnsi"/>
          <w:sz w:val="28"/>
          <w:szCs w:val="28"/>
          <w:lang w:eastAsia="en-US"/>
        </w:rPr>
        <w:t>.</w:t>
      </w:r>
    </w:p>
    <w:p w:rsidR="00732E6C" w:rsidRDefault="00A04D3F" w:rsidP="00732E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Расчет </w:t>
      </w:r>
      <w:r w:rsidR="00AA31DB">
        <w:rPr>
          <w:rFonts w:eastAsiaTheme="minorHAnsi"/>
          <w:sz w:val="28"/>
          <w:szCs w:val="28"/>
          <w:lang w:eastAsia="en-US"/>
        </w:rPr>
        <w:t xml:space="preserve">предельных уровней </w:t>
      </w:r>
      <w:r>
        <w:rPr>
          <w:rFonts w:eastAsiaTheme="minorHAnsi"/>
          <w:sz w:val="28"/>
          <w:szCs w:val="28"/>
          <w:lang w:eastAsia="en-US"/>
        </w:rPr>
        <w:t xml:space="preserve">тарифов по </w:t>
      </w:r>
      <w:r w:rsidRPr="00142D72">
        <w:rPr>
          <w:rFonts w:eastAsiaTheme="minorHAnsi"/>
          <w:sz w:val="28"/>
          <w:szCs w:val="28"/>
          <w:lang w:eastAsia="en-US"/>
        </w:rPr>
        <w:t xml:space="preserve">вышеуказанным субъектам Российской Федерации производился </w:t>
      </w:r>
      <w:r w:rsidR="00732E6C">
        <w:rPr>
          <w:rFonts w:eastAsiaTheme="minorHAnsi"/>
          <w:sz w:val="28"/>
          <w:szCs w:val="28"/>
          <w:lang w:eastAsia="en-US"/>
        </w:rPr>
        <w:t>с учетом исключения из расчета объемов потребления электроэнергии и мощности потребител</w:t>
      </w:r>
      <w:r w:rsidR="00AA31DB">
        <w:rPr>
          <w:rFonts w:eastAsiaTheme="minorHAnsi"/>
          <w:sz w:val="28"/>
          <w:szCs w:val="28"/>
          <w:lang w:eastAsia="en-US"/>
        </w:rPr>
        <w:t>ей</w:t>
      </w:r>
      <w:r w:rsidR="00732E6C">
        <w:rPr>
          <w:rFonts w:eastAsiaTheme="minorHAnsi"/>
          <w:sz w:val="28"/>
          <w:szCs w:val="28"/>
          <w:lang w:eastAsia="en-US"/>
        </w:rPr>
        <w:t>, электроснабжение которых в текущем году осуществляется</w:t>
      </w:r>
      <w:r w:rsidR="00732E6C" w:rsidRPr="00142D72">
        <w:rPr>
          <w:rFonts w:eastAsiaTheme="minorHAnsi"/>
          <w:sz w:val="28"/>
          <w:szCs w:val="28"/>
          <w:lang w:eastAsia="en-US"/>
        </w:rPr>
        <w:t xml:space="preserve"> посредством объектов </w:t>
      </w:r>
      <w:r w:rsidR="00732E6C" w:rsidRPr="00142D72">
        <w:rPr>
          <w:sz w:val="28"/>
          <w:szCs w:val="28"/>
        </w:rPr>
        <w:t xml:space="preserve">электросетевого хозяйства и (или) их частей, входящих в единую </w:t>
      </w:r>
      <w:r w:rsidR="00732E6C" w:rsidRPr="00AA31DB">
        <w:rPr>
          <w:sz w:val="28"/>
          <w:szCs w:val="28"/>
        </w:rPr>
        <w:t xml:space="preserve">национальную (общероссийскую) электрическую сеть и переданных в аренду территориальным сетевым организациям, а также на основании соблюдения условия </w:t>
      </w:r>
      <w:r w:rsidR="00B1019E" w:rsidRPr="00AA31DB">
        <w:rPr>
          <w:sz w:val="28"/>
          <w:szCs w:val="28"/>
        </w:rPr>
        <w:t>не превышения</w:t>
      </w:r>
      <w:r w:rsidR="00732E6C" w:rsidRPr="00AA31DB">
        <w:rPr>
          <w:sz w:val="28"/>
          <w:szCs w:val="28"/>
        </w:rPr>
        <w:t xml:space="preserve"> величины необходимой валовой</w:t>
      </w:r>
      <w:proofErr w:type="gramEnd"/>
      <w:r w:rsidR="00732E6C" w:rsidRPr="00AA31DB">
        <w:rPr>
          <w:sz w:val="28"/>
          <w:szCs w:val="28"/>
        </w:rPr>
        <w:t xml:space="preserve"> выручки</w:t>
      </w:r>
      <w:r w:rsidR="00AA31DB" w:rsidRPr="00AA31DB">
        <w:rPr>
          <w:sz w:val="28"/>
          <w:szCs w:val="28"/>
        </w:rPr>
        <w:t xml:space="preserve"> территориальных сетевых организаций по </w:t>
      </w:r>
      <w:r w:rsidR="009F119F">
        <w:rPr>
          <w:sz w:val="28"/>
          <w:szCs w:val="28"/>
        </w:rPr>
        <w:t>соответствующему</w:t>
      </w:r>
      <w:r w:rsidR="00AA31DB" w:rsidRPr="00AA31DB">
        <w:rPr>
          <w:sz w:val="28"/>
          <w:szCs w:val="28"/>
        </w:rPr>
        <w:t xml:space="preserve"> субъекту Российской Федерации, установленной на </w:t>
      </w:r>
      <w:r w:rsidR="00732E6C" w:rsidRPr="00AA31DB">
        <w:rPr>
          <w:sz w:val="28"/>
          <w:szCs w:val="28"/>
        </w:rPr>
        <w:t xml:space="preserve"> 2013 год. </w:t>
      </w:r>
    </w:p>
    <w:p w:rsidR="00AF53E8" w:rsidRDefault="00AF53E8" w:rsidP="00732E6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4731B" w:rsidRDefault="00B1019E" w:rsidP="00D202A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>
        <w:rPr>
          <w:rFonts w:eastAsia="Calibri"/>
          <w:sz w:val="28"/>
          <w:szCs w:val="28"/>
        </w:rPr>
        <w:t xml:space="preserve">для </w:t>
      </w:r>
      <w:r w:rsidR="00992602">
        <w:rPr>
          <w:rFonts w:eastAsia="Calibri"/>
          <w:sz w:val="28"/>
          <w:szCs w:val="28"/>
        </w:rPr>
        <w:t>субъектов Российской Федера</w:t>
      </w:r>
      <w:r w:rsidR="0074731B">
        <w:rPr>
          <w:rFonts w:eastAsia="Calibri"/>
          <w:sz w:val="28"/>
          <w:szCs w:val="28"/>
        </w:rPr>
        <w:t xml:space="preserve">ции, за исключением указанных в пункте «а» - </w:t>
      </w:r>
      <w:r w:rsidR="0074731B">
        <w:rPr>
          <w:rFonts w:eastAsiaTheme="minorHAnsi"/>
          <w:sz w:val="28"/>
          <w:szCs w:val="28"/>
          <w:lang w:eastAsia="en-US"/>
        </w:rPr>
        <w:t xml:space="preserve">предельные максимальные уровни тарифов на услуги </w:t>
      </w:r>
      <w:r w:rsidR="0074731B" w:rsidRPr="00E5495B">
        <w:rPr>
          <w:rFonts w:eastAsia="Calibri"/>
          <w:sz w:val="28"/>
          <w:szCs w:val="28"/>
        </w:rPr>
        <w:t>по передаче электрической энергии</w:t>
      </w:r>
      <w:r w:rsidR="0074731B">
        <w:rPr>
          <w:rFonts w:eastAsia="Calibri"/>
          <w:sz w:val="28"/>
          <w:szCs w:val="28"/>
        </w:rPr>
        <w:t xml:space="preserve"> по каждому уровню напряжения на уровне, не превышающем размер предельных максимальных уровней тарифов, установленных ФСТ России на 2 полугодие 2013 года, что соответствует требованиям п. 11 (1) Основ ценообразования.</w:t>
      </w:r>
    </w:p>
    <w:p w:rsidR="00763B65" w:rsidRDefault="00763B65" w:rsidP="00933DEB">
      <w:pPr>
        <w:jc w:val="both"/>
        <w:rPr>
          <w:rFonts w:eastAsia="Calibri"/>
          <w:sz w:val="28"/>
          <w:szCs w:val="28"/>
        </w:rPr>
      </w:pPr>
    </w:p>
    <w:p w:rsidR="0039126D" w:rsidRDefault="00763B65" w:rsidP="00680CD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39126D">
        <w:rPr>
          <w:rFonts w:eastAsia="Calibri"/>
          <w:sz w:val="28"/>
          <w:szCs w:val="28"/>
        </w:rPr>
        <w:t xml:space="preserve">На 2 полугодие 2014 года </w:t>
      </w:r>
      <w:r w:rsidR="0039126D">
        <w:rPr>
          <w:rFonts w:eastAsiaTheme="minorHAnsi"/>
          <w:sz w:val="28"/>
          <w:szCs w:val="28"/>
          <w:lang w:eastAsia="en-US"/>
        </w:rPr>
        <w:t xml:space="preserve">предельные максимальные уровни тарифов на услуги </w:t>
      </w:r>
      <w:r w:rsidR="0039126D" w:rsidRPr="00E5495B">
        <w:rPr>
          <w:rFonts w:eastAsia="Calibri"/>
          <w:sz w:val="28"/>
          <w:szCs w:val="28"/>
        </w:rPr>
        <w:t>по передаче электрической энергии</w:t>
      </w:r>
      <w:r w:rsidR="0039126D">
        <w:rPr>
          <w:rFonts w:eastAsia="Calibri"/>
          <w:sz w:val="28"/>
          <w:szCs w:val="28"/>
        </w:rPr>
        <w:t xml:space="preserve"> </w:t>
      </w:r>
      <w:r w:rsidR="00C4727F">
        <w:rPr>
          <w:rFonts w:eastAsia="Calibri"/>
          <w:sz w:val="28"/>
          <w:szCs w:val="28"/>
        </w:rPr>
        <w:t xml:space="preserve">для всех субъектов Российской Федерации по каждому уровню напряжения предлагается утвердить на уровне, не превышающем </w:t>
      </w:r>
      <w:r w:rsidR="002529A0">
        <w:rPr>
          <w:rFonts w:eastAsia="Calibri"/>
          <w:sz w:val="28"/>
          <w:szCs w:val="28"/>
        </w:rPr>
        <w:t>уров</w:t>
      </w:r>
      <w:r w:rsidR="00C4727F">
        <w:rPr>
          <w:rFonts w:eastAsia="Calibri"/>
          <w:sz w:val="28"/>
          <w:szCs w:val="28"/>
        </w:rPr>
        <w:t>ень</w:t>
      </w:r>
      <w:r w:rsidR="0039126D">
        <w:rPr>
          <w:rFonts w:eastAsia="Calibri"/>
          <w:sz w:val="28"/>
          <w:szCs w:val="28"/>
        </w:rPr>
        <w:t xml:space="preserve"> </w:t>
      </w:r>
      <w:r w:rsidR="002529A0">
        <w:rPr>
          <w:rFonts w:eastAsiaTheme="minorHAnsi"/>
          <w:sz w:val="28"/>
          <w:szCs w:val="28"/>
          <w:lang w:eastAsia="en-US"/>
        </w:rPr>
        <w:t xml:space="preserve">предельных максимальных уровней тарифов на услуги </w:t>
      </w:r>
      <w:r w:rsidR="002529A0" w:rsidRPr="00E5495B">
        <w:rPr>
          <w:rFonts w:eastAsia="Calibri"/>
          <w:sz w:val="28"/>
          <w:szCs w:val="28"/>
        </w:rPr>
        <w:t>по передаче электрической энергии</w:t>
      </w:r>
      <w:r w:rsidR="00C4727F">
        <w:rPr>
          <w:rFonts w:eastAsia="Calibri"/>
          <w:sz w:val="28"/>
          <w:szCs w:val="28"/>
        </w:rPr>
        <w:t xml:space="preserve"> на </w:t>
      </w:r>
      <w:r w:rsidR="00B13DC7">
        <w:rPr>
          <w:rFonts w:eastAsia="Calibri"/>
          <w:sz w:val="28"/>
          <w:szCs w:val="28"/>
        </w:rPr>
        <w:t xml:space="preserve">1 </w:t>
      </w:r>
      <w:r w:rsidR="00C4727F">
        <w:rPr>
          <w:rFonts w:eastAsia="Calibri"/>
          <w:sz w:val="28"/>
          <w:szCs w:val="28"/>
        </w:rPr>
        <w:t>полугоди</w:t>
      </w:r>
      <w:r w:rsidR="00B13DC7">
        <w:rPr>
          <w:rFonts w:eastAsia="Calibri"/>
          <w:sz w:val="28"/>
          <w:szCs w:val="28"/>
        </w:rPr>
        <w:t>е</w:t>
      </w:r>
      <w:r w:rsidR="00C4727F">
        <w:rPr>
          <w:rFonts w:eastAsia="Calibri"/>
          <w:sz w:val="28"/>
          <w:szCs w:val="28"/>
        </w:rPr>
        <w:t xml:space="preserve"> 2014 года. </w:t>
      </w:r>
    </w:p>
    <w:p w:rsidR="00763B65" w:rsidRDefault="00763B65" w:rsidP="00680CDB">
      <w:pPr>
        <w:ind w:firstLine="709"/>
        <w:jc w:val="both"/>
        <w:rPr>
          <w:rFonts w:eastAsia="Calibri"/>
          <w:sz w:val="28"/>
          <w:szCs w:val="28"/>
        </w:rPr>
      </w:pPr>
    </w:p>
    <w:p w:rsidR="00B21DA2" w:rsidRDefault="00763B65" w:rsidP="00680C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46DE1">
        <w:rPr>
          <w:sz w:val="28"/>
          <w:szCs w:val="28"/>
        </w:rPr>
        <w:t>П</w:t>
      </w:r>
      <w:r w:rsidR="00B21DA2">
        <w:rPr>
          <w:sz w:val="28"/>
          <w:szCs w:val="28"/>
        </w:rPr>
        <w:t xml:space="preserve">редельные </w:t>
      </w:r>
      <w:r w:rsidR="00680CDB">
        <w:rPr>
          <w:sz w:val="28"/>
          <w:szCs w:val="28"/>
        </w:rPr>
        <w:t xml:space="preserve">максимальные </w:t>
      </w:r>
      <w:r w:rsidR="00B21DA2">
        <w:rPr>
          <w:sz w:val="28"/>
          <w:szCs w:val="28"/>
        </w:rPr>
        <w:t xml:space="preserve">уровни тарифов </w:t>
      </w:r>
      <w:r w:rsidR="00B21DA2">
        <w:rPr>
          <w:rFonts w:eastAsia="Calibri"/>
          <w:sz w:val="28"/>
          <w:szCs w:val="28"/>
        </w:rPr>
        <w:t>на услуги по передаче электрической энергии</w:t>
      </w:r>
      <w:r w:rsidR="000F10DF">
        <w:rPr>
          <w:rFonts w:eastAsia="Calibri"/>
          <w:sz w:val="28"/>
          <w:szCs w:val="28"/>
        </w:rPr>
        <w:t xml:space="preserve"> на 2014 год</w:t>
      </w:r>
      <w:r w:rsidR="00B21DA2">
        <w:rPr>
          <w:rFonts w:eastAsia="Calibri"/>
          <w:sz w:val="28"/>
          <w:szCs w:val="28"/>
        </w:rPr>
        <w:t xml:space="preserve"> для субъектов Российской Федерации, </w:t>
      </w:r>
      <w:r w:rsidR="000F10DF">
        <w:rPr>
          <w:rFonts w:eastAsia="Calibri"/>
          <w:sz w:val="28"/>
          <w:szCs w:val="28"/>
        </w:rPr>
        <w:t>на территории</w:t>
      </w:r>
      <w:r w:rsidR="00B21DA2">
        <w:rPr>
          <w:rFonts w:eastAsia="Calibri"/>
          <w:sz w:val="28"/>
          <w:szCs w:val="28"/>
        </w:rPr>
        <w:t xml:space="preserve"> которых в соответствии с Федеральным законом вводится уровень напряжения ВН</w:t>
      </w:r>
      <w:proofErr w:type="gramStart"/>
      <w:r w:rsidR="00B21DA2">
        <w:rPr>
          <w:rFonts w:eastAsia="Calibri"/>
          <w:sz w:val="28"/>
          <w:szCs w:val="28"/>
        </w:rPr>
        <w:t>1</w:t>
      </w:r>
      <w:proofErr w:type="gramEnd"/>
      <w:r w:rsidR="00B21DA2">
        <w:rPr>
          <w:rFonts w:eastAsia="Calibri"/>
          <w:sz w:val="28"/>
          <w:szCs w:val="28"/>
        </w:rPr>
        <w:t xml:space="preserve">, </w:t>
      </w:r>
      <w:r w:rsidR="000F10DF">
        <w:rPr>
          <w:sz w:val="28"/>
          <w:szCs w:val="28"/>
        </w:rPr>
        <w:t>предлагается установить в виде формул</w:t>
      </w:r>
      <w:r w:rsidR="00680CDB">
        <w:rPr>
          <w:rFonts w:eastAsia="Calibri"/>
          <w:sz w:val="28"/>
          <w:szCs w:val="28"/>
        </w:rPr>
        <w:t>:</w:t>
      </w:r>
    </w:p>
    <w:p w:rsidR="001D28A6" w:rsidRDefault="001D28A6" w:rsidP="00680C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80CDB" w:rsidRDefault="00680CDB" w:rsidP="00A04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для субъектов Российской Федерации:  </w:t>
      </w:r>
      <w:proofErr w:type="gramStart"/>
      <w:r w:rsidRPr="001E0ED7">
        <w:rPr>
          <w:sz w:val="28"/>
          <w:szCs w:val="28"/>
        </w:rPr>
        <w:t>Республика Бурятия</w:t>
      </w:r>
      <w:r>
        <w:rPr>
          <w:sz w:val="28"/>
          <w:szCs w:val="28"/>
        </w:rPr>
        <w:t xml:space="preserve">,  </w:t>
      </w:r>
      <w:r w:rsidRPr="001E0ED7">
        <w:rPr>
          <w:sz w:val="28"/>
          <w:szCs w:val="28"/>
        </w:rPr>
        <w:t>Республика Карелия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ab/>
        <w:t>Республика Марий Эл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Республика Хакасия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ab/>
        <w:t>Забайкальский край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Белгородская</w:t>
      </w:r>
      <w:r>
        <w:rPr>
          <w:sz w:val="28"/>
          <w:szCs w:val="28"/>
        </w:rPr>
        <w:t xml:space="preserve"> о</w:t>
      </w:r>
      <w:r w:rsidRPr="001E0ED7">
        <w:rPr>
          <w:sz w:val="28"/>
          <w:szCs w:val="28"/>
        </w:rPr>
        <w:t>бласть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ab/>
        <w:t>Волгоградская область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ab/>
      </w:r>
      <w:r w:rsidRPr="001E0ED7">
        <w:rPr>
          <w:sz w:val="28"/>
          <w:szCs w:val="28"/>
        </w:rPr>
        <w:tab/>
        <w:t>Вологодская область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 xml:space="preserve"> Курская область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Липецкая область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Нижегородская область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 xml:space="preserve"> Ростовская область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Тамбовская область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Томская область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ab/>
        <w:t>Тюменская область</w:t>
      </w:r>
      <w:r w:rsidR="000F10DF"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Ханты-Мансийский автономный округ-Югра,</w:t>
      </w:r>
      <w:r w:rsidRPr="00680CDB">
        <w:rPr>
          <w:sz w:val="28"/>
          <w:szCs w:val="28"/>
        </w:rPr>
        <w:t xml:space="preserve"> </w:t>
      </w:r>
      <w:r w:rsidRPr="001E0ED7">
        <w:rPr>
          <w:sz w:val="28"/>
          <w:szCs w:val="28"/>
        </w:rPr>
        <w:t>Ямало-Ненецкий автономный округ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 xml:space="preserve"> Челябинская область</w:t>
      </w:r>
      <w:r>
        <w:rPr>
          <w:sz w:val="28"/>
          <w:szCs w:val="28"/>
        </w:rPr>
        <w:t xml:space="preserve">: </w:t>
      </w:r>
      <w:proofErr w:type="gramEnd"/>
    </w:p>
    <w:p w:rsidR="00680CDB" w:rsidRDefault="00F401F4" w:rsidP="00F40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ставка на содержание электрических сетей:</w:t>
      </w:r>
    </w:p>
    <w:p w:rsidR="00F401F4" w:rsidRDefault="00F401F4" w:rsidP="00F40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6B1" w:rsidRPr="00961255" w:rsidRDefault="00CB31C0" w:rsidP="005669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ФСК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+ (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ПС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ЗМ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*1000</m:t>
        </m:r>
      </m:oMath>
      <w:r w:rsidR="00961255">
        <w:rPr>
          <w:sz w:val="28"/>
          <w:szCs w:val="28"/>
        </w:rPr>
        <w:t>, где</w:t>
      </w:r>
    </w:p>
    <w:p w:rsidR="00961255" w:rsidRDefault="00961255" w:rsidP="005669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1255" w:rsidRPr="00F401F4" w:rsidRDefault="00961255" w:rsidP="005669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1255" w:rsidRPr="00C81227" w:rsidRDefault="00CB31C0" w:rsidP="0096125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ФСК</m:t>
            </m:r>
          </m:sup>
        </m:sSubSup>
      </m:oMath>
      <w:r w:rsidR="00961255" w:rsidRPr="00D15E6D">
        <w:rPr>
          <w:sz w:val="28"/>
          <w:szCs w:val="28"/>
        </w:rPr>
        <w:t xml:space="preserve"> – </w:t>
      </w:r>
      <w:r w:rsidR="00961255" w:rsidRPr="00C81227">
        <w:rPr>
          <w:sz w:val="28"/>
          <w:szCs w:val="28"/>
        </w:rPr>
        <w:t>ставка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сеть, утвержденная в Приложении № 2 к Приказу ФСТ России от 29.12.2009г. № 552-э/2 для соответствующего субъекта Российской Федерации на 2014 год, руб./МВт*мес.;</w:t>
      </w:r>
    </w:p>
    <w:p w:rsidR="00961255" w:rsidRDefault="00CB31C0" w:rsidP="009612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ПС</m:t>
            </m:r>
          </m:sup>
        </m:sSup>
      </m:oMath>
      <w:r w:rsidR="00961255" w:rsidRPr="00D15E6D">
        <w:rPr>
          <w:sz w:val="28"/>
          <w:szCs w:val="28"/>
        </w:rPr>
        <w:t xml:space="preserve"> – ставка перекрестного субсидирования по субъекту Российской Федерации</w:t>
      </w:r>
      <w:r w:rsidR="00961255">
        <w:rPr>
          <w:sz w:val="28"/>
          <w:szCs w:val="28"/>
        </w:rPr>
        <w:t>, руб./</w:t>
      </w:r>
      <w:proofErr w:type="spellStart"/>
      <w:r w:rsidR="00961255">
        <w:rPr>
          <w:sz w:val="28"/>
          <w:szCs w:val="28"/>
        </w:rPr>
        <w:t>МВт</w:t>
      </w:r>
      <w:proofErr w:type="gramStart"/>
      <w:r w:rsidR="00961255">
        <w:rPr>
          <w:sz w:val="28"/>
          <w:szCs w:val="28"/>
        </w:rPr>
        <w:t>.ч</w:t>
      </w:r>
      <w:proofErr w:type="spellEnd"/>
      <w:proofErr w:type="gramEnd"/>
      <w:r w:rsidR="00961255">
        <w:rPr>
          <w:sz w:val="28"/>
          <w:szCs w:val="28"/>
        </w:rPr>
        <w:t xml:space="preserve">, соответственно: </w:t>
      </w:r>
    </w:p>
    <w:p w:rsidR="00961255" w:rsidRDefault="00961255" w:rsidP="009612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5544"/>
        <w:gridCol w:w="4252"/>
      </w:tblGrid>
      <w:tr w:rsidR="00961255" w:rsidRPr="005D7171" w:rsidTr="00632AA7">
        <w:trPr>
          <w:trHeight w:val="33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255" w:rsidRPr="000214AF" w:rsidRDefault="00961255" w:rsidP="00632AA7">
            <w:pPr>
              <w:jc w:val="center"/>
              <w:rPr>
                <w:b/>
                <w:bCs/>
                <w:color w:val="000000"/>
              </w:rPr>
            </w:pPr>
            <w:r w:rsidRPr="000214AF">
              <w:rPr>
                <w:b/>
                <w:bCs/>
                <w:color w:val="000000"/>
              </w:rPr>
              <w:t>Субъект Российской Федерации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0214AF" w:rsidRDefault="00961255" w:rsidP="00632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F972CA">
              <w:rPr>
                <w:b/>
                <w:bCs/>
                <w:color w:val="000000"/>
              </w:rPr>
              <w:t>тавка</w:t>
            </w:r>
            <w:r>
              <w:rPr>
                <w:b/>
                <w:bCs/>
                <w:color w:val="000000"/>
              </w:rPr>
              <w:t xml:space="preserve"> перекрестного субсидирования, руб./</w:t>
            </w:r>
            <w:proofErr w:type="spellStart"/>
            <w:r>
              <w:rPr>
                <w:b/>
                <w:bCs/>
                <w:color w:val="000000"/>
              </w:rPr>
              <w:t>МВт</w:t>
            </w:r>
            <w:proofErr w:type="gramStart"/>
            <w:r>
              <w:rPr>
                <w:b/>
                <w:bCs/>
                <w:color w:val="000000"/>
              </w:rPr>
              <w:t>.ч</w:t>
            </w:r>
            <w:proofErr w:type="spellEnd"/>
            <w:proofErr w:type="gramEnd"/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Республика Карелия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302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Республика Марий Эл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555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Республика Хакасия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129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Белгородская область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424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Волгоградская область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598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Вологодская область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276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Липецкая область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658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Ростовская область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714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Тамбовская область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926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Томская область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656 </w:t>
            </w:r>
          </w:p>
        </w:tc>
      </w:tr>
      <w:tr w:rsidR="00961255" w:rsidRPr="005D7171" w:rsidTr="00632AA7">
        <w:trPr>
          <w:trHeight w:val="96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Тюменская область, Ханты-Мансийский автономный округ-Югра, Ямало-Ненецкий автономный округ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116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Нижегородская область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434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Курская область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512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Челябинская область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440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Республика Бурятия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550 </w:t>
            </w:r>
          </w:p>
        </w:tc>
      </w:tr>
      <w:tr w:rsidR="00961255" w:rsidRPr="005D7171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5D7171" w:rsidRDefault="00961255" w:rsidP="00632AA7">
            <w:pPr>
              <w:jc w:val="center"/>
              <w:rPr>
                <w:color w:val="000000"/>
              </w:rPr>
            </w:pPr>
            <w:r w:rsidRPr="005D7171">
              <w:rPr>
                <w:color w:val="000000"/>
              </w:rPr>
              <w:t>Забайкальский край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255" w:rsidRPr="006E0A04" w:rsidRDefault="00961255" w:rsidP="00632AA7">
            <w:pPr>
              <w:jc w:val="center"/>
              <w:rPr>
                <w:color w:val="000000"/>
              </w:rPr>
            </w:pPr>
            <w:r w:rsidRPr="006E0A04">
              <w:rPr>
                <w:color w:val="000000"/>
              </w:rPr>
              <w:t xml:space="preserve">420 </w:t>
            </w:r>
          </w:p>
        </w:tc>
      </w:tr>
    </w:tbl>
    <w:p w:rsidR="00F401F4" w:rsidRPr="004166B1" w:rsidRDefault="00F401F4" w:rsidP="005669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66B1" w:rsidRDefault="00F401F4" w:rsidP="00F401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- ставка на оплату </w:t>
      </w:r>
      <w:r w:rsidRPr="00F401F4">
        <w:rPr>
          <w:sz w:val="28"/>
          <w:szCs w:val="28"/>
        </w:rPr>
        <w:t>нормативных технологических потерь электрической энергии в электрических сетях</w:t>
      </w:r>
      <w:r w:rsidR="001D28A6">
        <w:rPr>
          <w:sz w:val="28"/>
          <w:szCs w:val="28"/>
        </w:rPr>
        <w:t>:</w:t>
      </w:r>
    </w:p>
    <w:p w:rsidR="00F401F4" w:rsidRPr="00D15E6D" w:rsidRDefault="00F401F4" w:rsidP="00F401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66B1" w:rsidRPr="00D15E6D" w:rsidRDefault="00CB31C0" w:rsidP="00566922">
      <w:pPr>
        <w:widowControl w:val="0"/>
        <w:autoSpaceDE w:val="0"/>
        <w:autoSpaceDN w:val="0"/>
        <w:adjustRightInd w:val="0"/>
        <w:ind w:left="1276" w:firstLine="257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пот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=(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пот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ФСК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*НТПЭ*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  <m:r>
          <w:rPr>
            <w:rFonts w:ascii="Cambria Math" w:hAnsi="Cambria Math"/>
            <w:sz w:val="28"/>
            <w:szCs w:val="28"/>
          </w:rPr>
          <m:t>)/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</m:oMath>
      <w:r w:rsidR="004166B1" w:rsidRPr="00D15E6D">
        <w:rPr>
          <w:sz w:val="28"/>
          <w:szCs w:val="28"/>
        </w:rPr>
        <w:t xml:space="preserve">  ,  где</w:t>
      </w:r>
    </w:p>
    <w:p w:rsidR="004166B1" w:rsidRPr="00D15E6D" w:rsidRDefault="004166B1" w:rsidP="004166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72CA" w:rsidRDefault="00CB31C0" w:rsidP="005F5290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пот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ФСК</m:t>
            </m:r>
          </m:sup>
        </m:sSubSup>
      </m:oMath>
      <w:r w:rsidR="004166B1" w:rsidRPr="00C81227">
        <w:rPr>
          <w:sz w:val="28"/>
          <w:szCs w:val="28"/>
        </w:rPr>
        <w:t xml:space="preserve">– </w:t>
      </w:r>
      <w:r w:rsidR="00C81227" w:rsidRPr="00C81227">
        <w:rPr>
          <w:sz w:val="28"/>
          <w:szCs w:val="28"/>
        </w:rPr>
        <w:t>ставка тарифа на оплату нормативных технологических потерь электрической энергии (мощности) в единой национальной (общероссийской) электрической сети, утвержденная в Приложении № 3 к Приказу ФСТ России от 29.12.2009г. № 552-э/2 для соответствующего субъекта Российской Фед</w:t>
      </w:r>
      <w:r w:rsidR="00FC7590">
        <w:rPr>
          <w:sz w:val="28"/>
          <w:szCs w:val="28"/>
        </w:rPr>
        <w:t>ерации на 2014 год, руб./</w:t>
      </w:r>
      <w:proofErr w:type="spellStart"/>
      <w:r w:rsidR="00FC7590">
        <w:rPr>
          <w:sz w:val="28"/>
          <w:szCs w:val="28"/>
        </w:rPr>
        <w:t>МВт</w:t>
      </w:r>
      <w:proofErr w:type="gramStart"/>
      <w:r w:rsidR="00FC7590">
        <w:rPr>
          <w:sz w:val="28"/>
          <w:szCs w:val="28"/>
        </w:rPr>
        <w:t>.</w:t>
      </w:r>
      <w:r w:rsidR="002A2CDE">
        <w:rPr>
          <w:sz w:val="28"/>
          <w:szCs w:val="28"/>
        </w:rPr>
        <w:t>ч</w:t>
      </w:r>
      <w:proofErr w:type="spellEnd"/>
      <w:proofErr w:type="gramEnd"/>
      <w:r w:rsidR="002A2CDE">
        <w:rPr>
          <w:sz w:val="28"/>
          <w:szCs w:val="28"/>
        </w:rPr>
        <w:t xml:space="preserve">, соответственно: </w:t>
      </w:r>
    </w:p>
    <w:p w:rsidR="00961255" w:rsidRDefault="00961255" w:rsidP="005F5290">
      <w:pPr>
        <w:ind w:firstLine="709"/>
        <w:jc w:val="both"/>
        <w:rPr>
          <w:sz w:val="28"/>
          <w:szCs w:val="28"/>
        </w:rPr>
      </w:pPr>
    </w:p>
    <w:p w:rsidR="00961255" w:rsidRDefault="00961255" w:rsidP="005F5290">
      <w:pPr>
        <w:ind w:firstLine="709"/>
        <w:jc w:val="both"/>
        <w:rPr>
          <w:sz w:val="28"/>
          <w:szCs w:val="28"/>
        </w:rPr>
      </w:pPr>
    </w:p>
    <w:p w:rsidR="000214AF" w:rsidRDefault="000214AF" w:rsidP="00AF53E8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5544"/>
        <w:gridCol w:w="4394"/>
      </w:tblGrid>
      <w:tr w:rsidR="000214AF" w:rsidRPr="000214AF" w:rsidTr="000214AF">
        <w:trPr>
          <w:trHeight w:val="40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jc w:val="center"/>
              <w:rPr>
                <w:b/>
                <w:bCs/>
                <w:color w:val="000000"/>
              </w:rPr>
            </w:pPr>
            <w:r w:rsidRPr="000214AF">
              <w:rPr>
                <w:b/>
                <w:bCs/>
                <w:color w:val="000000"/>
              </w:rPr>
              <w:lastRenderedPageBreak/>
              <w:t>Субъект Российской Федерации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F972CA" w:rsidP="000214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F972CA">
              <w:rPr>
                <w:b/>
                <w:bCs/>
                <w:color w:val="000000"/>
              </w:rPr>
              <w:t>тавка тарифа на оплату нормативных технологических потерь электрической энергии (мощности)</w:t>
            </w:r>
            <w:r>
              <w:rPr>
                <w:b/>
                <w:bCs/>
                <w:color w:val="000000"/>
              </w:rPr>
              <w:t>, руб./</w:t>
            </w:r>
            <w:proofErr w:type="spellStart"/>
            <w:r>
              <w:rPr>
                <w:b/>
                <w:bCs/>
                <w:color w:val="000000"/>
              </w:rPr>
              <w:t>МВт</w:t>
            </w:r>
            <w:proofErr w:type="gramStart"/>
            <w:r>
              <w:rPr>
                <w:b/>
                <w:bCs/>
                <w:color w:val="000000"/>
              </w:rPr>
              <w:t>.ч</w:t>
            </w:r>
            <w:proofErr w:type="spellEnd"/>
            <w:proofErr w:type="gramEnd"/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Республика Карелия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1437,15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Республика Марий Эл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1783,9</w:t>
            </w:r>
            <w:r>
              <w:rPr>
                <w:color w:val="000000"/>
              </w:rPr>
              <w:t xml:space="preserve"> 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Республика Хакасия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386,25</w:t>
            </w:r>
            <w:r w:rsidRPr="000214AF">
              <w:t xml:space="preserve"> </w:t>
            </w:r>
            <w:r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Белгородская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1556,18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Волгоградская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1469,73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Вологодская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1734,44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Липецкая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1701,95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Ростовская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1412,71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Тамбовская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1643,51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Томская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1325,39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9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Тюменская область, Ханты-Мансийский автономный округ-Югра, Ямало-Ненецкий автономный округ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1132,08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Нижегородская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1628,41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Курская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1387,3</w:t>
            </w:r>
            <w:r w:rsidRPr="000214AF">
              <w:t xml:space="preserve"> </w:t>
            </w:r>
            <w:r w:rsidR="006E0A04">
              <w:t xml:space="preserve"> </w:t>
            </w:r>
            <w:r w:rsidRPr="000214AF">
              <w:t>.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Челябинская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1628,56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Республика Бурятия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0214AF">
              <w:rPr>
                <w:color w:val="000000"/>
              </w:rPr>
              <w:t>583,25</w:t>
            </w:r>
            <w:r>
              <w:rPr>
                <w:color w:val="000000"/>
              </w:rPr>
              <w:t xml:space="preserve"> </w:t>
            </w:r>
            <w:r w:rsidRPr="000214AF">
              <w:t xml:space="preserve"> </w:t>
            </w:r>
          </w:p>
        </w:tc>
      </w:tr>
      <w:tr w:rsidR="000214AF" w:rsidRPr="000214AF" w:rsidTr="000214AF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0214AF">
            <w:pPr>
              <w:rPr>
                <w:color w:val="000000"/>
              </w:rPr>
            </w:pPr>
            <w:r w:rsidRPr="000214AF">
              <w:rPr>
                <w:color w:val="000000"/>
              </w:rPr>
              <w:t>Забайкальский край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4AF" w:rsidRPr="000214AF" w:rsidRDefault="000214AF" w:rsidP="00F972CA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1002,24</w:t>
            </w:r>
            <w:r w:rsidRPr="000214AF">
              <w:t xml:space="preserve"> </w:t>
            </w:r>
            <w:r>
              <w:t xml:space="preserve"> </w:t>
            </w:r>
          </w:p>
        </w:tc>
      </w:tr>
    </w:tbl>
    <w:p w:rsidR="000214AF" w:rsidRDefault="000214AF" w:rsidP="00B921C4">
      <w:pPr>
        <w:ind w:firstLine="709"/>
        <w:jc w:val="both"/>
        <w:rPr>
          <w:sz w:val="28"/>
          <w:szCs w:val="28"/>
        </w:rPr>
      </w:pPr>
    </w:p>
    <w:p w:rsidR="005D7171" w:rsidRDefault="00186F12" w:rsidP="009612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F12">
        <w:rPr>
          <w:sz w:val="28"/>
          <w:szCs w:val="28"/>
        </w:rPr>
        <w:t>НТПЭ – норматив технологического расхода (потерь), утвержденный приказом Министерства энергетики Российской Федерации на 2014 год для соответствующег</w:t>
      </w:r>
      <w:r w:rsidR="00961255">
        <w:rPr>
          <w:sz w:val="28"/>
          <w:szCs w:val="28"/>
        </w:rPr>
        <w:t>о класса (уровня) напряжения</w:t>
      </w:r>
      <w:proofErr w:type="gramStart"/>
      <w:r w:rsidR="00961255">
        <w:rPr>
          <w:sz w:val="28"/>
          <w:szCs w:val="28"/>
        </w:rPr>
        <w:t>, %;</w:t>
      </w:r>
      <w:proofErr w:type="gramEnd"/>
    </w:p>
    <w:p w:rsidR="00C81227" w:rsidRPr="00C81227" w:rsidRDefault="00CB31C0" w:rsidP="00B92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</m:oMath>
      <w:r w:rsidR="004166B1" w:rsidRPr="00D15E6D">
        <w:rPr>
          <w:sz w:val="28"/>
          <w:szCs w:val="28"/>
        </w:rPr>
        <w:t xml:space="preserve"> –</w:t>
      </w:r>
      <w:r w:rsidR="00B921C4">
        <w:rPr>
          <w:sz w:val="28"/>
          <w:szCs w:val="28"/>
        </w:rPr>
        <w:t xml:space="preserve"> </w:t>
      </w:r>
      <w:r w:rsidR="00C81227" w:rsidRPr="00C81227">
        <w:rPr>
          <w:sz w:val="28"/>
          <w:szCs w:val="28"/>
        </w:rPr>
        <w:t>объем полезного отпуска электрической энергии потребителей на уровне напряжения ВН1 з</w:t>
      </w:r>
      <w:r w:rsidR="00FC7590">
        <w:rPr>
          <w:sz w:val="28"/>
          <w:szCs w:val="28"/>
        </w:rPr>
        <w:t xml:space="preserve">а отчетный месяц 2014 года, </w:t>
      </w:r>
      <w:proofErr w:type="spellStart"/>
      <w:r w:rsidR="00FC7590">
        <w:rPr>
          <w:sz w:val="28"/>
          <w:szCs w:val="28"/>
        </w:rPr>
        <w:t>МВт</w:t>
      </w:r>
      <w:proofErr w:type="gramStart"/>
      <w:r w:rsidR="00FC7590">
        <w:rPr>
          <w:sz w:val="28"/>
          <w:szCs w:val="28"/>
        </w:rPr>
        <w:t>.ч</w:t>
      </w:r>
      <w:proofErr w:type="spellEnd"/>
      <w:proofErr w:type="gramEnd"/>
      <w:r w:rsidR="00C81227" w:rsidRPr="00C81227">
        <w:rPr>
          <w:sz w:val="28"/>
          <w:szCs w:val="28"/>
        </w:rPr>
        <w:t>;</w:t>
      </w:r>
    </w:p>
    <w:p w:rsidR="00C81227" w:rsidRDefault="00CB31C0" w:rsidP="00B92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ЗМ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</m:oMath>
      <w:r w:rsidR="004166B1" w:rsidRPr="00C81227">
        <w:rPr>
          <w:sz w:val="28"/>
          <w:szCs w:val="28"/>
        </w:rPr>
        <w:t xml:space="preserve">– </w:t>
      </w:r>
      <w:r w:rsidR="00C81227" w:rsidRPr="00C81227">
        <w:rPr>
          <w:sz w:val="28"/>
          <w:szCs w:val="28"/>
        </w:rPr>
        <w:t>объем заявленной мощности потребителей на уровне напряжения ВН</w:t>
      </w:r>
      <w:proofErr w:type="gramStart"/>
      <w:r w:rsidR="00C81227" w:rsidRPr="00C81227">
        <w:rPr>
          <w:sz w:val="28"/>
          <w:szCs w:val="28"/>
        </w:rPr>
        <w:t>1</w:t>
      </w:r>
      <w:proofErr w:type="gramEnd"/>
      <w:r w:rsidR="00C81227" w:rsidRPr="00C81227">
        <w:rPr>
          <w:sz w:val="28"/>
          <w:szCs w:val="28"/>
        </w:rPr>
        <w:t xml:space="preserve"> за отчетный месяц 2014 года, МВт*мес.</w:t>
      </w:r>
    </w:p>
    <w:p w:rsidR="00763B65" w:rsidRDefault="00763B65" w:rsidP="00B92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CDB" w:rsidRDefault="00680CDB" w:rsidP="00680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для субъектов Российской Федерации: </w:t>
      </w:r>
      <w:r w:rsidRPr="001E0ED7">
        <w:rPr>
          <w:sz w:val="28"/>
          <w:szCs w:val="28"/>
        </w:rPr>
        <w:t>Амурская область</w:t>
      </w:r>
      <w:r>
        <w:rPr>
          <w:sz w:val="28"/>
          <w:szCs w:val="28"/>
        </w:rPr>
        <w:t>,</w:t>
      </w:r>
      <w:r w:rsidRPr="00680CDB">
        <w:rPr>
          <w:sz w:val="28"/>
          <w:szCs w:val="28"/>
        </w:rPr>
        <w:t xml:space="preserve"> </w:t>
      </w:r>
      <w:r w:rsidRPr="001E0ED7">
        <w:rPr>
          <w:sz w:val="28"/>
          <w:szCs w:val="28"/>
        </w:rPr>
        <w:t>Еврейская автономная область</w:t>
      </w:r>
      <w:r>
        <w:rPr>
          <w:sz w:val="28"/>
          <w:szCs w:val="28"/>
        </w:rPr>
        <w:t>:</w:t>
      </w:r>
    </w:p>
    <w:p w:rsidR="0007598C" w:rsidRDefault="0007598C" w:rsidP="00680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28A6" w:rsidRDefault="001D28A6" w:rsidP="00075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ставка на содержание электрических сетей:</w:t>
      </w:r>
    </w:p>
    <w:p w:rsidR="003E61F4" w:rsidRDefault="003E61F4" w:rsidP="003E61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6394"/>
        <w:gridCol w:w="3544"/>
      </w:tblGrid>
      <w:tr w:rsidR="003E61F4" w:rsidRPr="000214AF" w:rsidTr="00632AA7">
        <w:trPr>
          <w:trHeight w:val="405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1F4" w:rsidRPr="000214AF" w:rsidRDefault="003E61F4" w:rsidP="00632AA7">
            <w:pPr>
              <w:jc w:val="center"/>
              <w:rPr>
                <w:b/>
                <w:bCs/>
                <w:color w:val="000000"/>
              </w:rPr>
            </w:pPr>
            <w:r w:rsidRPr="000214AF">
              <w:rPr>
                <w:b/>
                <w:bCs/>
                <w:color w:val="000000"/>
              </w:rPr>
              <w:t>Субъект Российской Федерации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1F4" w:rsidRPr="000214AF" w:rsidRDefault="003E61F4" w:rsidP="003E61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F972CA">
              <w:rPr>
                <w:b/>
                <w:bCs/>
                <w:color w:val="000000"/>
              </w:rPr>
              <w:t>тавка</w:t>
            </w:r>
            <w:r>
              <w:rPr>
                <w:b/>
                <w:bCs/>
                <w:color w:val="000000"/>
              </w:rPr>
              <w:t xml:space="preserve"> на содержание электрических сетей, руб./МВт в месяц</w:t>
            </w:r>
          </w:p>
        </w:tc>
      </w:tr>
      <w:tr w:rsidR="003E61F4" w:rsidRPr="000214AF" w:rsidTr="00632AA7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1F4" w:rsidRPr="000214AF" w:rsidRDefault="003E61F4" w:rsidP="00632AA7">
            <w:pPr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1F4" w:rsidRPr="000214AF" w:rsidRDefault="003E61F4" w:rsidP="00632AA7">
            <w:pPr>
              <w:jc w:val="center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760 588,64 </m:t>
                </m:r>
              </m:oMath>
            </m:oMathPara>
          </w:p>
        </w:tc>
      </w:tr>
      <w:tr w:rsidR="003E61F4" w:rsidRPr="000214AF" w:rsidTr="00632AA7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1F4" w:rsidRPr="000214AF" w:rsidRDefault="003E61F4" w:rsidP="00632AA7">
            <w:pPr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1F4" w:rsidRPr="000214AF" w:rsidRDefault="003E61F4" w:rsidP="00632AA7">
            <w:pPr>
              <w:jc w:val="center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871 356,01 </m:t>
                </m:r>
              </m:oMath>
            </m:oMathPara>
          </w:p>
        </w:tc>
      </w:tr>
    </w:tbl>
    <w:p w:rsidR="005D7171" w:rsidRDefault="005D7171" w:rsidP="00064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4A0" w:rsidRDefault="001654A0" w:rsidP="00533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54A0" w:rsidRDefault="001654A0" w:rsidP="00533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D33" w:rsidRDefault="00B44D33" w:rsidP="005331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 ставок определен по следующей формуле:</w:t>
      </w:r>
    </w:p>
    <w:p w:rsidR="00B44D33" w:rsidRDefault="00B44D33" w:rsidP="00064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9A0" w:rsidRDefault="00CB31C0" w:rsidP="005D717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сод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сод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d>
      </m:oMath>
      <w:r w:rsidR="00595C84">
        <w:rPr>
          <w:sz w:val="28"/>
          <w:szCs w:val="28"/>
        </w:rPr>
        <w:t>, где</w:t>
      </w:r>
    </w:p>
    <w:p w:rsidR="00064CFE" w:rsidRDefault="00064CFE" w:rsidP="005D717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D28A6" w:rsidRDefault="00CB31C0" w:rsidP="00064CF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сод</m:t>
            </m:r>
          </m:sup>
        </m:sSubSup>
      </m:oMath>
      <w:r w:rsidR="00064CFE" w:rsidRPr="00D15E6D">
        <w:rPr>
          <w:sz w:val="28"/>
          <w:szCs w:val="28"/>
        </w:rPr>
        <w:t xml:space="preserve"> – ставка  на  содержание электрических сетей на уровне напряжения ВН, утвержденная органом исполнительной власти субъекта Российской Федерации в области государственного регулирования тарифов и действовавшая по состоянию на 31 декабря 2013 года, руб./МВт</w:t>
      </w:r>
      <w:r w:rsidR="00CB0B3F" w:rsidRPr="00CB0B3F">
        <w:rPr>
          <w:sz w:val="28"/>
          <w:szCs w:val="28"/>
        </w:rPr>
        <w:t>*</w:t>
      </w:r>
      <w:r w:rsidR="00064CFE">
        <w:rPr>
          <w:sz w:val="28"/>
          <w:szCs w:val="28"/>
        </w:rPr>
        <w:t>мес.;</w:t>
      </w:r>
    </w:p>
    <w:p w:rsidR="00807399" w:rsidRDefault="00807399" w:rsidP="008073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I</m:t>
        </m:r>
      </m:oMath>
      <w:r w:rsidRPr="00D15E6D">
        <w:rPr>
          <w:sz w:val="28"/>
          <w:szCs w:val="28"/>
        </w:rPr>
        <w:t xml:space="preserve"> – индекс эффективности операционных расходов, утвержденный органом исполнительной власти с</w:t>
      </w:r>
      <w:r>
        <w:rPr>
          <w:sz w:val="28"/>
          <w:szCs w:val="28"/>
        </w:rPr>
        <w:t>убъекта Российской Федерации, %, соответственно:</w:t>
      </w:r>
    </w:p>
    <w:p w:rsidR="000113E2" w:rsidRPr="00D32247" w:rsidRDefault="00807399" w:rsidP="000113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Еврейская автономная </w:t>
      </w:r>
      <w:r w:rsidRPr="00B921C4">
        <w:rPr>
          <w:sz w:val="28"/>
          <w:szCs w:val="28"/>
        </w:rPr>
        <w:t>область: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0113E2">
        <w:rPr>
          <w:sz w:val="28"/>
          <w:szCs w:val="28"/>
        </w:rPr>
        <w:t>2,5%,</w:t>
      </w:r>
    </w:p>
    <w:p w:rsidR="00807399" w:rsidRPr="00D32247" w:rsidRDefault="00807399" w:rsidP="008073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Амурская область: 1%.</w:t>
      </w:r>
    </w:p>
    <w:p w:rsidR="00064CFE" w:rsidRDefault="00064CFE" w:rsidP="008073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28A6" w:rsidRDefault="001D28A6" w:rsidP="001D28A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ставка на оплату </w:t>
      </w:r>
      <w:r w:rsidRPr="00F401F4">
        <w:rPr>
          <w:sz w:val="28"/>
          <w:szCs w:val="28"/>
        </w:rPr>
        <w:t>нормативных технологических потерь электрической энергии в электрических сетях</w:t>
      </w:r>
      <w:r>
        <w:rPr>
          <w:sz w:val="28"/>
          <w:szCs w:val="28"/>
        </w:rPr>
        <w:t>:</w:t>
      </w:r>
    </w:p>
    <w:p w:rsidR="001D28A6" w:rsidRPr="00D15E6D" w:rsidRDefault="001D28A6" w:rsidP="005D717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529A0" w:rsidRPr="00D15E6D" w:rsidRDefault="00064CFE" w:rsidP="00064CF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Амурская область:</w:t>
      </w:r>
    </w:p>
    <w:p w:rsidR="002529A0" w:rsidRDefault="00CB31C0" w:rsidP="005D717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пот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=(1784,55*НТПЭ*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  <m:r>
          <w:rPr>
            <w:rFonts w:ascii="Cambria Math" w:hAnsi="Cambria Math"/>
            <w:sz w:val="28"/>
            <w:szCs w:val="28"/>
          </w:rPr>
          <m:t>)/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</m:oMath>
      <w:r w:rsidR="00064CFE">
        <w:rPr>
          <w:sz w:val="28"/>
          <w:szCs w:val="28"/>
        </w:rPr>
        <w:t xml:space="preserve"> </w:t>
      </w:r>
    </w:p>
    <w:p w:rsidR="00064CFE" w:rsidRDefault="00064CFE" w:rsidP="005D717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4CFE" w:rsidRDefault="00064CFE" w:rsidP="00064CF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Еврейская автономная область:</w:t>
      </w:r>
    </w:p>
    <w:p w:rsidR="00B921C4" w:rsidRDefault="00B921C4" w:rsidP="00064C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CFE" w:rsidRDefault="00CB31C0" w:rsidP="00064CF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пот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=(1883,86*НТПЭ*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  <m:r>
          <w:rPr>
            <w:rFonts w:ascii="Cambria Math" w:hAnsi="Cambria Math"/>
            <w:sz w:val="28"/>
            <w:szCs w:val="28"/>
          </w:rPr>
          <m:t>)/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</m:oMath>
      <w:r w:rsidR="00064CFE">
        <w:rPr>
          <w:sz w:val="28"/>
          <w:szCs w:val="28"/>
        </w:rPr>
        <w:t xml:space="preserve"> , где</w:t>
      </w:r>
    </w:p>
    <w:p w:rsidR="001412F8" w:rsidRPr="00B921C4" w:rsidRDefault="001412F8" w:rsidP="00B92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2247" w:rsidRDefault="00064CFE" w:rsidP="00807399">
      <w:pPr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1784,55 и 1883,86 </m:t>
        </m:r>
      </m:oMath>
      <w:r w:rsidR="004166B1" w:rsidRPr="00D15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921C4" w:rsidRPr="00C81227">
        <w:rPr>
          <w:sz w:val="28"/>
          <w:szCs w:val="28"/>
        </w:rPr>
        <w:t>ставка тарифа на оплату нормативных технологических потерь электрической энергии (мощности) в единой национальной (общероссийской) электрической сети, утвержденная в Приложении № 3 к Приказу ФСТ России от 29.12.2009г. № 552-э/2 для соответствующего субъекта Российской Фед</w:t>
      </w:r>
      <w:r w:rsidR="00D32247">
        <w:rPr>
          <w:sz w:val="28"/>
          <w:szCs w:val="28"/>
        </w:rPr>
        <w:t>е</w:t>
      </w:r>
      <w:r w:rsidR="00807399">
        <w:rPr>
          <w:sz w:val="28"/>
          <w:szCs w:val="28"/>
        </w:rPr>
        <w:t>рации на 2014 год, руб./</w:t>
      </w:r>
      <w:proofErr w:type="spellStart"/>
      <w:r w:rsidR="00807399">
        <w:rPr>
          <w:sz w:val="28"/>
          <w:szCs w:val="28"/>
        </w:rPr>
        <w:t>МВт</w:t>
      </w:r>
      <w:proofErr w:type="gramStart"/>
      <w:r w:rsidR="00807399">
        <w:rPr>
          <w:sz w:val="28"/>
          <w:szCs w:val="28"/>
        </w:rPr>
        <w:t>.ч</w:t>
      </w:r>
      <w:proofErr w:type="spellEnd"/>
      <w:proofErr w:type="gramEnd"/>
      <w:r w:rsidR="00807399">
        <w:rPr>
          <w:sz w:val="28"/>
          <w:szCs w:val="28"/>
        </w:rPr>
        <w:t>;</w:t>
      </w:r>
    </w:p>
    <w:p w:rsidR="00186F12" w:rsidRPr="00186F12" w:rsidRDefault="00186F12" w:rsidP="00186F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F12">
        <w:rPr>
          <w:sz w:val="28"/>
          <w:szCs w:val="28"/>
        </w:rPr>
        <w:t>НТПЭ – норматив технологического расхода (потерь), утвержденный приказом Министерства энергетики Российской Федерации на 2014 год для соответствующего класса (уровня) напряжения</w:t>
      </w:r>
      <w:proofErr w:type="gramStart"/>
      <w:r w:rsidRPr="00186F12">
        <w:rPr>
          <w:sz w:val="28"/>
          <w:szCs w:val="28"/>
        </w:rPr>
        <w:t>, %;</w:t>
      </w:r>
      <w:proofErr w:type="gramEnd"/>
    </w:p>
    <w:p w:rsidR="00B921C4" w:rsidRDefault="00CB31C0" w:rsidP="00B92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</m:oMath>
      <w:r w:rsidR="00B921C4">
        <w:rPr>
          <w:sz w:val="28"/>
          <w:szCs w:val="28"/>
        </w:rPr>
        <w:t xml:space="preserve"> – </w:t>
      </w:r>
      <w:r w:rsidR="00B921C4" w:rsidRPr="00C81227">
        <w:rPr>
          <w:sz w:val="28"/>
          <w:szCs w:val="28"/>
        </w:rPr>
        <w:t xml:space="preserve">объем полезного отпуска электрической энергии потребителей на уровне напряжения ВН1 за отчетный месяц 2014 года, </w:t>
      </w:r>
      <w:proofErr w:type="spellStart"/>
      <w:r w:rsidR="00B921C4" w:rsidRPr="00C81227">
        <w:rPr>
          <w:sz w:val="28"/>
          <w:szCs w:val="28"/>
        </w:rPr>
        <w:t>МВт</w:t>
      </w:r>
      <w:proofErr w:type="gramStart"/>
      <w:r w:rsidR="00FC7590">
        <w:rPr>
          <w:sz w:val="28"/>
          <w:szCs w:val="28"/>
        </w:rPr>
        <w:t>.</w:t>
      </w:r>
      <w:r w:rsidR="00B921C4">
        <w:rPr>
          <w:sz w:val="28"/>
          <w:szCs w:val="28"/>
        </w:rPr>
        <w:t>ч</w:t>
      </w:r>
      <w:proofErr w:type="spellEnd"/>
      <w:proofErr w:type="gramEnd"/>
      <w:r w:rsidR="00B921C4">
        <w:rPr>
          <w:sz w:val="28"/>
          <w:szCs w:val="28"/>
        </w:rPr>
        <w:t>.</w:t>
      </w:r>
    </w:p>
    <w:p w:rsidR="009E0765" w:rsidRDefault="009E0765" w:rsidP="00B92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82B" w:rsidRDefault="009E0765" w:rsidP="00B921C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5A12E7">
        <w:rPr>
          <w:rFonts w:eastAsia="Calibri"/>
          <w:sz w:val="28"/>
          <w:szCs w:val="28"/>
        </w:rPr>
        <w:t>Предельные</w:t>
      </w:r>
      <w:r w:rsidR="005A12E7" w:rsidRPr="00514AA6">
        <w:rPr>
          <w:rFonts w:eastAsia="Calibri"/>
          <w:sz w:val="28"/>
          <w:szCs w:val="28"/>
        </w:rPr>
        <w:t xml:space="preserve"> минимальны</w:t>
      </w:r>
      <w:r w:rsidR="005A12E7">
        <w:rPr>
          <w:rFonts w:eastAsia="Calibri"/>
          <w:sz w:val="28"/>
          <w:szCs w:val="28"/>
        </w:rPr>
        <w:t>е</w:t>
      </w:r>
      <w:r w:rsidR="005A12E7" w:rsidRPr="00514AA6">
        <w:rPr>
          <w:rFonts w:eastAsia="Calibri"/>
          <w:sz w:val="28"/>
          <w:szCs w:val="28"/>
        </w:rPr>
        <w:t xml:space="preserve"> уровн</w:t>
      </w:r>
      <w:r w:rsidR="005A12E7">
        <w:rPr>
          <w:rFonts w:eastAsia="Calibri"/>
          <w:sz w:val="28"/>
          <w:szCs w:val="28"/>
        </w:rPr>
        <w:t xml:space="preserve">и </w:t>
      </w:r>
      <w:r w:rsidR="005A12E7" w:rsidRPr="00514AA6">
        <w:rPr>
          <w:rFonts w:eastAsia="Calibri"/>
          <w:sz w:val="28"/>
          <w:szCs w:val="28"/>
        </w:rPr>
        <w:t>тарифов на услуги по передаче электрической энергии на 201</w:t>
      </w:r>
      <w:r w:rsidR="005A12E7">
        <w:rPr>
          <w:rFonts w:eastAsia="Calibri"/>
          <w:sz w:val="28"/>
          <w:szCs w:val="28"/>
        </w:rPr>
        <w:t>4</w:t>
      </w:r>
      <w:r w:rsidR="005A12E7" w:rsidRPr="00514AA6">
        <w:rPr>
          <w:rFonts w:eastAsia="Calibri"/>
          <w:sz w:val="28"/>
          <w:szCs w:val="28"/>
        </w:rPr>
        <w:t xml:space="preserve"> г</w:t>
      </w:r>
      <w:r w:rsidR="00A04D3F">
        <w:rPr>
          <w:rFonts w:eastAsia="Calibri"/>
          <w:sz w:val="28"/>
          <w:szCs w:val="28"/>
        </w:rPr>
        <w:t>од</w:t>
      </w:r>
      <w:r w:rsidR="005A12E7" w:rsidRPr="00514AA6">
        <w:rPr>
          <w:rFonts w:eastAsia="Calibri"/>
          <w:sz w:val="28"/>
          <w:szCs w:val="28"/>
        </w:rPr>
        <w:t xml:space="preserve"> </w:t>
      </w:r>
      <w:r w:rsidR="005A12E7">
        <w:rPr>
          <w:rFonts w:eastAsia="Calibri"/>
          <w:sz w:val="28"/>
          <w:szCs w:val="28"/>
        </w:rPr>
        <w:t xml:space="preserve">предлагается установить </w:t>
      </w:r>
      <w:r w:rsidR="001B182B">
        <w:rPr>
          <w:rFonts w:eastAsia="Calibri"/>
          <w:sz w:val="28"/>
          <w:szCs w:val="28"/>
        </w:rPr>
        <w:t>следующим образом:</w:t>
      </w:r>
    </w:p>
    <w:p w:rsidR="001B182B" w:rsidRDefault="001B182B" w:rsidP="00B921C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B182B" w:rsidRDefault="001B182B" w:rsidP="001B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для субъектов Российской Федерации:  </w:t>
      </w:r>
      <w:proofErr w:type="gramStart"/>
      <w:r w:rsidRPr="001E0ED7">
        <w:rPr>
          <w:sz w:val="28"/>
          <w:szCs w:val="28"/>
        </w:rPr>
        <w:t>Республика Бурятия</w:t>
      </w:r>
      <w:r>
        <w:rPr>
          <w:sz w:val="28"/>
          <w:szCs w:val="28"/>
        </w:rPr>
        <w:t xml:space="preserve">,  </w:t>
      </w:r>
      <w:r w:rsidRPr="001E0ED7">
        <w:rPr>
          <w:sz w:val="28"/>
          <w:szCs w:val="28"/>
        </w:rPr>
        <w:t>Республика Карелия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ab/>
        <w:t>Республика Марий Эл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Республика Хакасия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ab/>
        <w:t>Забайкальский край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Белгородская</w:t>
      </w:r>
      <w:r>
        <w:rPr>
          <w:sz w:val="28"/>
          <w:szCs w:val="28"/>
        </w:rPr>
        <w:t xml:space="preserve"> о</w:t>
      </w:r>
      <w:r w:rsidRPr="001E0ED7">
        <w:rPr>
          <w:sz w:val="28"/>
          <w:szCs w:val="28"/>
        </w:rPr>
        <w:t>бласть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ab/>
        <w:t>Волгоградская область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ab/>
      </w:r>
      <w:r w:rsidRPr="001E0ED7">
        <w:rPr>
          <w:sz w:val="28"/>
          <w:szCs w:val="28"/>
        </w:rPr>
        <w:tab/>
        <w:t>Вологодская область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 xml:space="preserve"> Курская область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Липецкая область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Нижегородская область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 xml:space="preserve"> Ростовская область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Тамбовская область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Томская область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ab/>
        <w:t>Тюменская область</w:t>
      </w:r>
      <w:r>
        <w:rPr>
          <w:sz w:val="28"/>
          <w:szCs w:val="28"/>
        </w:rPr>
        <w:t xml:space="preserve">, </w:t>
      </w:r>
      <w:r w:rsidRPr="001E0ED7">
        <w:rPr>
          <w:sz w:val="28"/>
          <w:szCs w:val="28"/>
        </w:rPr>
        <w:t>Ханты-Мансийский автономный округ-Югра,</w:t>
      </w:r>
      <w:r w:rsidRPr="00680CDB">
        <w:rPr>
          <w:sz w:val="28"/>
          <w:szCs w:val="28"/>
        </w:rPr>
        <w:t xml:space="preserve"> </w:t>
      </w:r>
      <w:r w:rsidRPr="001E0ED7">
        <w:rPr>
          <w:sz w:val="28"/>
          <w:szCs w:val="28"/>
        </w:rPr>
        <w:t>Ямало-Ненецкий автономный округ</w:t>
      </w:r>
      <w:r>
        <w:rPr>
          <w:sz w:val="28"/>
          <w:szCs w:val="28"/>
        </w:rPr>
        <w:t>,</w:t>
      </w:r>
      <w:r w:rsidRPr="001E0ED7">
        <w:rPr>
          <w:sz w:val="28"/>
          <w:szCs w:val="28"/>
        </w:rPr>
        <w:t xml:space="preserve"> Челябинская область</w:t>
      </w:r>
      <w:r>
        <w:rPr>
          <w:sz w:val="28"/>
          <w:szCs w:val="28"/>
        </w:rPr>
        <w:t>, Амурская область, Еврейская автономная область</w:t>
      </w:r>
      <w:r w:rsidR="006A2A82">
        <w:rPr>
          <w:sz w:val="28"/>
          <w:szCs w:val="28"/>
        </w:rPr>
        <w:t xml:space="preserve"> – в виде формулы</w:t>
      </w:r>
      <w:r>
        <w:rPr>
          <w:sz w:val="28"/>
          <w:szCs w:val="28"/>
        </w:rPr>
        <w:t xml:space="preserve">: </w:t>
      </w:r>
      <w:proofErr w:type="gramEnd"/>
    </w:p>
    <w:p w:rsidR="001B182B" w:rsidRDefault="001B182B" w:rsidP="001B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82B" w:rsidRDefault="001B182B" w:rsidP="001B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ставка на содержание электрических сетей:</w:t>
      </w:r>
    </w:p>
    <w:p w:rsidR="001B182B" w:rsidRDefault="001B182B" w:rsidP="001B1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66B8" w:rsidRDefault="00CB31C0" w:rsidP="00C166B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сод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ФСК</m:t>
            </m:r>
          </m:sup>
        </m:sSubSup>
      </m:oMath>
      <w:r w:rsidR="00C166B8">
        <w:rPr>
          <w:sz w:val="28"/>
          <w:szCs w:val="28"/>
        </w:rPr>
        <w:t>, где</w:t>
      </w:r>
    </w:p>
    <w:p w:rsidR="001B182B" w:rsidRDefault="00CB31C0" w:rsidP="00C166B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ФСК</m:t>
            </m:r>
          </m:sup>
        </m:sSubSup>
      </m:oMath>
      <w:r w:rsidR="00C166B8" w:rsidRPr="00D15E6D">
        <w:rPr>
          <w:sz w:val="28"/>
          <w:szCs w:val="28"/>
        </w:rPr>
        <w:t xml:space="preserve"> – </w:t>
      </w:r>
      <w:r w:rsidR="00C166B8" w:rsidRPr="00C81227">
        <w:rPr>
          <w:sz w:val="28"/>
          <w:szCs w:val="28"/>
        </w:rPr>
        <w:t>ставка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сеть, утвержденная в Приложении № 2 к Приказу ФСТ России от 29.12.2009г. № 552-э/2 для соответс</w:t>
      </w:r>
      <w:bookmarkStart w:id="0" w:name="_GoBack"/>
      <w:bookmarkEnd w:id="0"/>
      <w:r w:rsidR="00C166B8" w:rsidRPr="00C81227">
        <w:rPr>
          <w:sz w:val="28"/>
          <w:szCs w:val="28"/>
        </w:rPr>
        <w:t>твующего субъекта Российской Федер</w:t>
      </w:r>
      <w:r w:rsidR="00C166B8">
        <w:rPr>
          <w:sz w:val="28"/>
          <w:szCs w:val="28"/>
        </w:rPr>
        <w:t>ации на 2014 год, руб./МВт*мес.</w:t>
      </w:r>
    </w:p>
    <w:p w:rsidR="001B182B" w:rsidRDefault="001B182B" w:rsidP="001B182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ставка на оплату </w:t>
      </w:r>
      <w:r w:rsidRPr="00F401F4">
        <w:rPr>
          <w:sz w:val="28"/>
          <w:szCs w:val="28"/>
        </w:rPr>
        <w:t>нормативных технологических потерь электрической энергии в электрических сетях</w:t>
      </w:r>
      <w:r>
        <w:rPr>
          <w:sz w:val="28"/>
          <w:szCs w:val="28"/>
        </w:rPr>
        <w:t>:</w:t>
      </w:r>
    </w:p>
    <w:p w:rsidR="001B182B" w:rsidRPr="00D15E6D" w:rsidRDefault="001B182B" w:rsidP="00E06F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B182B" w:rsidRDefault="00405DED" w:rsidP="00E06F9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     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пот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ВН1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пот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ФСК</m:t>
            </m:r>
          </m:sup>
        </m:sSubSup>
      </m:oMath>
      <w:r w:rsidR="001B182B">
        <w:rPr>
          <w:sz w:val="28"/>
          <w:szCs w:val="28"/>
        </w:rPr>
        <w:t xml:space="preserve"> , где</w:t>
      </w:r>
    </w:p>
    <w:p w:rsidR="001B182B" w:rsidRDefault="00CB31C0" w:rsidP="001B182B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пот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ФСК</m:t>
            </m:r>
          </m:sup>
        </m:sSubSup>
      </m:oMath>
      <w:r w:rsidR="001B182B" w:rsidRPr="00C81227">
        <w:rPr>
          <w:sz w:val="28"/>
          <w:szCs w:val="28"/>
        </w:rPr>
        <w:t>– ставка тарифа на оплату нормативных технологических потерь электрической энергии (мощности) в единой национальной (общероссийской) электрической сети, утвержденная в Приложении № 3 к Приказу ФСТ России от 29.12.2009г. № 552-э/2 для соответствующего субъекта Российской Фед</w:t>
      </w:r>
      <w:r w:rsidR="001B182B">
        <w:rPr>
          <w:sz w:val="28"/>
          <w:szCs w:val="28"/>
        </w:rPr>
        <w:t>ерации на 2014 год, руб./</w:t>
      </w:r>
      <w:proofErr w:type="spellStart"/>
      <w:r w:rsidR="001B182B">
        <w:rPr>
          <w:sz w:val="28"/>
          <w:szCs w:val="28"/>
        </w:rPr>
        <w:t>МВт</w:t>
      </w:r>
      <w:proofErr w:type="gramStart"/>
      <w:r w:rsidR="00EE00D4">
        <w:rPr>
          <w:sz w:val="28"/>
          <w:szCs w:val="28"/>
        </w:rPr>
        <w:t>.ч</w:t>
      </w:r>
      <w:proofErr w:type="spellEnd"/>
      <w:proofErr w:type="gramEnd"/>
      <w:r w:rsidR="001B182B">
        <w:rPr>
          <w:sz w:val="28"/>
          <w:szCs w:val="28"/>
        </w:rPr>
        <w:t>, соответственно:</w:t>
      </w:r>
    </w:p>
    <w:p w:rsidR="001B182B" w:rsidRDefault="001B182B" w:rsidP="001B182B">
      <w:pPr>
        <w:ind w:firstLine="709"/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5544"/>
        <w:gridCol w:w="4394"/>
      </w:tblGrid>
      <w:tr w:rsidR="001B182B" w:rsidRPr="000214AF" w:rsidTr="00632AA7">
        <w:trPr>
          <w:trHeight w:val="40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b/>
                <w:bCs/>
                <w:color w:val="000000"/>
              </w:rPr>
            </w:pPr>
            <w:r w:rsidRPr="000214AF">
              <w:rPr>
                <w:b/>
                <w:bCs/>
                <w:color w:val="000000"/>
              </w:rPr>
              <w:t>Субъект Российской Федерации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F972CA">
              <w:rPr>
                <w:b/>
                <w:bCs/>
                <w:color w:val="000000"/>
              </w:rPr>
              <w:t>тавка тарифа на оплату нормативных технологических потерь электрической энергии (мощности)</w:t>
            </w:r>
            <w:r>
              <w:rPr>
                <w:b/>
                <w:bCs/>
                <w:color w:val="000000"/>
              </w:rPr>
              <w:t>, руб./</w:t>
            </w:r>
            <w:proofErr w:type="spellStart"/>
            <w:r>
              <w:rPr>
                <w:b/>
                <w:bCs/>
                <w:color w:val="000000"/>
              </w:rPr>
              <w:t>МВт</w:t>
            </w:r>
            <w:proofErr w:type="gramStart"/>
            <w:r>
              <w:rPr>
                <w:b/>
                <w:bCs/>
                <w:color w:val="000000"/>
              </w:rPr>
              <w:t>.ч</w:t>
            </w:r>
            <w:proofErr w:type="spellEnd"/>
            <w:proofErr w:type="gramEnd"/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Республика Карелия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1437,15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Республика Марий Эл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1783,9</w:t>
            </w:r>
            <w:r>
              <w:rPr>
                <w:color w:val="000000"/>
              </w:rPr>
              <w:t xml:space="preserve"> </w:t>
            </w:r>
            <w:r w:rsidRPr="000214AF"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Республика Хакасия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386,25</w:t>
            </w:r>
            <w:r w:rsidRPr="000214AF">
              <w:t xml:space="preserve"> </w:t>
            </w:r>
            <w:r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Белгородская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1556,18</w:t>
            </w:r>
            <w:r w:rsidRPr="000214AF"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Волгоградская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1469,73</w:t>
            </w:r>
            <w:r w:rsidRPr="000214AF"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Вологодская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1734,44</w:t>
            </w:r>
            <w:r w:rsidRPr="000214AF"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Липецкая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1701,95</w:t>
            </w:r>
            <w:r w:rsidRPr="000214AF"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Ростовская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1412,71</w:t>
            </w:r>
            <w:r w:rsidRPr="000214AF"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Тамбовская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1643,51</w:t>
            </w:r>
            <w:r w:rsidRPr="000214AF"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Томская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1325,39</w:t>
            </w:r>
            <w:r w:rsidRPr="000214AF">
              <w:t xml:space="preserve"> </w:t>
            </w:r>
          </w:p>
        </w:tc>
      </w:tr>
      <w:tr w:rsidR="001B182B" w:rsidRPr="000214AF" w:rsidTr="00632AA7">
        <w:trPr>
          <w:trHeight w:val="9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Тюменская область, Ханты-Мансийский автономный округ-Югра, Ямало-Ненецкий автономный округ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1132,08</w:t>
            </w:r>
            <w:r w:rsidRPr="000214AF"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Нижегородская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1628,41</w:t>
            </w:r>
            <w:r w:rsidRPr="000214AF"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Курская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1387,3</w:t>
            </w:r>
            <w:r w:rsidRPr="000214AF">
              <w:t xml:space="preserve"> </w:t>
            </w:r>
            <w:r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Челябинская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1628,56</w:t>
            </w:r>
            <w:r w:rsidRPr="000214AF"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Республика Бурятия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0214AF">
              <w:rPr>
                <w:color w:val="000000"/>
              </w:rPr>
              <w:t>583,25</w:t>
            </w:r>
            <w:r>
              <w:rPr>
                <w:color w:val="000000"/>
              </w:rPr>
              <w:t xml:space="preserve"> </w:t>
            </w:r>
            <w:r w:rsidRPr="000214AF"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 w:rsidRPr="000214AF">
              <w:rPr>
                <w:color w:val="000000"/>
              </w:rPr>
              <w:t>Забайкальский край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w:r w:rsidRPr="000214AF">
              <w:rPr>
                <w:color w:val="000000"/>
              </w:rPr>
              <w:t>1002,24</w:t>
            </w:r>
            <w:r w:rsidRPr="000214AF">
              <w:t xml:space="preserve"> </w:t>
            </w:r>
            <w:r>
              <w:t xml:space="preserve"> </w:t>
            </w:r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1784,55 </m:t>
                </m:r>
              </m:oMath>
            </m:oMathPara>
          </w:p>
        </w:tc>
      </w:tr>
      <w:tr w:rsidR="001B182B" w:rsidRPr="000214AF" w:rsidTr="00632AA7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Еврейская автономная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82B" w:rsidRPr="000214AF" w:rsidRDefault="001B182B" w:rsidP="00632AA7">
            <w:pPr>
              <w:jc w:val="center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1883,86 </m:t>
                </m:r>
              </m:oMath>
            </m:oMathPara>
          </w:p>
        </w:tc>
      </w:tr>
    </w:tbl>
    <w:p w:rsidR="001B182B" w:rsidRDefault="001B182B" w:rsidP="00343F9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E12B3" w:rsidRDefault="00050DF9" w:rsidP="00B921C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для остальных субъектов Российской Федерации</w:t>
      </w:r>
      <w:r w:rsidR="00BB322C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r w:rsidR="00B55ED5">
        <w:rPr>
          <w:rFonts w:eastAsia="Calibri"/>
          <w:sz w:val="28"/>
          <w:szCs w:val="28"/>
        </w:rPr>
        <w:t xml:space="preserve">с календарной разбивкой </w:t>
      </w:r>
      <w:r w:rsidR="00A04D3F">
        <w:rPr>
          <w:rFonts w:eastAsia="Calibri"/>
          <w:sz w:val="28"/>
          <w:szCs w:val="28"/>
        </w:rPr>
        <w:t xml:space="preserve">с учетом снижения на </w:t>
      </w:r>
      <w:r w:rsidR="00D32247">
        <w:rPr>
          <w:rFonts w:eastAsia="Calibri"/>
          <w:sz w:val="28"/>
          <w:szCs w:val="28"/>
        </w:rPr>
        <w:t>5</w:t>
      </w:r>
      <w:r w:rsidR="00A04D3F">
        <w:rPr>
          <w:rFonts w:eastAsia="Calibri"/>
          <w:sz w:val="28"/>
          <w:szCs w:val="28"/>
        </w:rPr>
        <w:t>% от уровня предельных</w:t>
      </w:r>
      <w:r w:rsidR="005A12E7">
        <w:rPr>
          <w:rFonts w:eastAsia="Calibri"/>
          <w:sz w:val="28"/>
          <w:szCs w:val="28"/>
        </w:rPr>
        <w:t xml:space="preserve"> м</w:t>
      </w:r>
      <w:r w:rsidR="00A04D3F">
        <w:rPr>
          <w:rFonts w:eastAsia="Calibri"/>
          <w:sz w:val="28"/>
          <w:szCs w:val="28"/>
        </w:rPr>
        <w:t>акси</w:t>
      </w:r>
      <w:r w:rsidR="005A12E7">
        <w:rPr>
          <w:rFonts w:eastAsia="Calibri"/>
          <w:sz w:val="28"/>
          <w:szCs w:val="28"/>
        </w:rPr>
        <w:t>мальны</w:t>
      </w:r>
      <w:r w:rsidR="00A04D3F">
        <w:rPr>
          <w:rFonts w:eastAsia="Calibri"/>
          <w:sz w:val="28"/>
          <w:szCs w:val="28"/>
        </w:rPr>
        <w:t>х</w:t>
      </w:r>
      <w:r w:rsidR="005A12E7">
        <w:rPr>
          <w:rFonts w:eastAsia="Calibri"/>
          <w:sz w:val="28"/>
          <w:szCs w:val="28"/>
        </w:rPr>
        <w:t xml:space="preserve"> </w:t>
      </w:r>
      <w:r w:rsidR="005A12E7" w:rsidRPr="00514AA6">
        <w:rPr>
          <w:rFonts w:eastAsia="Calibri"/>
          <w:sz w:val="28"/>
          <w:szCs w:val="28"/>
        </w:rPr>
        <w:t>уровн</w:t>
      </w:r>
      <w:r w:rsidR="005A12E7">
        <w:rPr>
          <w:rFonts w:eastAsia="Calibri"/>
          <w:sz w:val="28"/>
          <w:szCs w:val="28"/>
        </w:rPr>
        <w:t xml:space="preserve">ей </w:t>
      </w:r>
      <w:r w:rsidR="005A12E7" w:rsidRPr="00514AA6">
        <w:rPr>
          <w:rFonts w:eastAsia="Calibri"/>
          <w:sz w:val="28"/>
          <w:szCs w:val="28"/>
        </w:rPr>
        <w:t>тариф</w:t>
      </w:r>
      <w:r w:rsidR="00A04D3F">
        <w:rPr>
          <w:rFonts w:eastAsia="Calibri"/>
          <w:sz w:val="28"/>
          <w:szCs w:val="28"/>
        </w:rPr>
        <w:t>ов</w:t>
      </w:r>
      <w:r w:rsidR="005A12E7" w:rsidRPr="00514AA6">
        <w:rPr>
          <w:rFonts w:eastAsia="Calibri"/>
          <w:sz w:val="28"/>
          <w:szCs w:val="28"/>
        </w:rPr>
        <w:t xml:space="preserve"> на услуги по передаче электрической энергии</w:t>
      </w:r>
      <w:r w:rsidR="00BB322C">
        <w:rPr>
          <w:rFonts w:eastAsia="Calibri"/>
          <w:sz w:val="28"/>
          <w:szCs w:val="28"/>
        </w:rPr>
        <w:t xml:space="preserve"> </w:t>
      </w:r>
      <w:r w:rsidR="005A12E7">
        <w:rPr>
          <w:rFonts w:eastAsia="Calibri"/>
          <w:sz w:val="28"/>
          <w:szCs w:val="28"/>
        </w:rPr>
        <w:t xml:space="preserve">на </w:t>
      </w:r>
      <w:r w:rsidR="00BB322C">
        <w:rPr>
          <w:rFonts w:eastAsia="Calibri"/>
          <w:sz w:val="28"/>
          <w:szCs w:val="28"/>
        </w:rPr>
        <w:t xml:space="preserve">соответствующее полугодие </w:t>
      </w:r>
      <w:r w:rsidR="005A12E7">
        <w:rPr>
          <w:rFonts w:eastAsia="Calibri"/>
          <w:sz w:val="28"/>
          <w:szCs w:val="28"/>
        </w:rPr>
        <w:t>201</w:t>
      </w:r>
      <w:r w:rsidR="00A04D3F">
        <w:rPr>
          <w:rFonts w:eastAsia="Calibri"/>
          <w:sz w:val="28"/>
          <w:szCs w:val="28"/>
        </w:rPr>
        <w:t>4</w:t>
      </w:r>
      <w:r w:rsidR="005A12E7">
        <w:rPr>
          <w:rFonts w:eastAsia="Calibri"/>
          <w:sz w:val="28"/>
          <w:szCs w:val="28"/>
        </w:rPr>
        <w:t xml:space="preserve"> год</w:t>
      </w:r>
      <w:r w:rsidR="00BB322C">
        <w:rPr>
          <w:rFonts w:eastAsia="Calibri"/>
          <w:sz w:val="28"/>
          <w:szCs w:val="28"/>
        </w:rPr>
        <w:t>а</w:t>
      </w:r>
      <w:r w:rsidR="005A12E7">
        <w:rPr>
          <w:rFonts w:eastAsia="Calibri"/>
          <w:sz w:val="28"/>
          <w:szCs w:val="28"/>
        </w:rPr>
        <w:t xml:space="preserve">. </w:t>
      </w:r>
    </w:p>
    <w:p w:rsidR="00AE12B3" w:rsidRDefault="00D32247" w:rsidP="00643F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Расчет учитывает снижение </w:t>
      </w:r>
      <w:r w:rsidR="00B55ED5">
        <w:rPr>
          <w:rFonts w:eastAsia="Calibri"/>
          <w:sz w:val="28"/>
          <w:szCs w:val="28"/>
        </w:rPr>
        <w:t xml:space="preserve">объемов </w:t>
      </w:r>
      <w:r>
        <w:rPr>
          <w:rFonts w:eastAsia="Calibri"/>
          <w:sz w:val="28"/>
          <w:szCs w:val="28"/>
        </w:rPr>
        <w:t>полезного отпуска</w:t>
      </w:r>
      <w:r w:rsidR="00B55ED5">
        <w:rPr>
          <w:rFonts w:eastAsia="Calibri"/>
          <w:sz w:val="28"/>
          <w:szCs w:val="28"/>
        </w:rPr>
        <w:t xml:space="preserve"> электрической энергии</w:t>
      </w:r>
      <w:r>
        <w:rPr>
          <w:rFonts w:eastAsia="Calibri"/>
          <w:sz w:val="28"/>
          <w:szCs w:val="28"/>
        </w:rPr>
        <w:t xml:space="preserve">, реализацию </w:t>
      </w:r>
      <w:r w:rsidRPr="00B55ED5">
        <w:rPr>
          <w:rFonts w:eastAsia="Calibri"/>
          <w:sz w:val="28"/>
          <w:szCs w:val="28"/>
        </w:rPr>
        <w:t xml:space="preserve">постановления Правительства Российской Федерации от </w:t>
      </w:r>
      <w:r w:rsidR="00B55ED5" w:rsidRPr="00643F62">
        <w:rPr>
          <w:rFonts w:eastAsia="Calibri"/>
          <w:sz w:val="28"/>
          <w:szCs w:val="28"/>
        </w:rPr>
        <w:t xml:space="preserve">24.10.2013г. </w:t>
      </w:r>
      <w:r w:rsidRPr="00B55ED5">
        <w:rPr>
          <w:rFonts w:eastAsia="Calibri"/>
          <w:sz w:val="28"/>
          <w:szCs w:val="28"/>
        </w:rPr>
        <w:t>№ 953</w:t>
      </w:r>
      <w:r w:rsidR="00B55ED5" w:rsidRPr="00B55ED5">
        <w:rPr>
          <w:rFonts w:eastAsia="Calibri"/>
          <w:sz w:val="28"/>
          <w:szCs w:val="28"/>
        </w:rPr>
        <w:t xml:space="preserve"> «</w:t>
      </w:r>
      <w:r w:rsidR="00B55ED5" w:rsidRPr="00643F62">
        <w:rPr>
          <w:rFonts w:eastAsia="Calibri"/>
          <w:sz w:val="28"/>
          <w:szCs w:val="28"/>
        </w:rPr>
        <w:t xml:space="preserve">О внесении изменений в Основы ценообразования в области регулируемых цен (тарифов) в электроэнергетике и принятии тарифных решений» </w:t>
      </w:r>
      <w:r w:rsidR="00B55ED5">
        <w:rPr>
          <w:rFonts w:eastAsia="Calibri"/>
          <w:sz w:val="28"/>
          <w:szCs w:val="28"/>
        </w:rPr>
        <w:t xml:space="preserve">и других подзаконных актов, </w:t>
      </w:r>
      <w:r w:rsidR="001B182B">
        <w:rPr>
          <w:rFonts w:eastAsia="Calibri"/>
          <w:sz w:val="28"/>
          <w:szCs w:val="28"/>
        </w:rPr>
        <w:t>направленных на</w:t>
      </w:r>
      <w:r w:rsidR="00B55ED5">
        <w:rPr>
          <w:rFonts w:eastAsia="Calibri"/>
          <w:sz w:val="28"/>
          <w:szCs w:val="28"/>
        </w:rPr>
        <w:t xml:space="preserve"> повышение эффективности операционных расходов, их снижение и исключение </w:t>
      </w:r>
      <w:r w:rsidR="001B182B">
        <w:rPr>
          <w:rFonts w:eastAsia="Calibri"/>
          <w:sz w:val="28"/>
          <w:szCs w:val="28"/>
        </w:rPr>
        <w:t>из расчета тарифов на услуги по передаче затрат</w:t>
      </w:r>
      <w:r w:rsidR="00AB6D6C">
        <w:rPr>
          <w:rFonts w:eastAsia="Calibri"/>
          <w:sz w:val="28"/>
          <w:szCs w:val="28"/>
        </w:rPr>
        <w:t xml:space="preserve"> территориальных сетевых организаций, обслуживающих</w:t>
      </w:r>
      <w:proofErr w:type="gramEnd"/>
      <w:r w:rsidR="00AB6D6C">
        <w:rPr>
          <w:rFonts w:eastAsia="Calibri"/>
          <w:sz w:val="28"/>
          <w:szCs w:val="28"/>
        </w:rPr>
        <w:t xml:space="preserve"> </w:t>
      </w:r>
      <w:r w:rsidR="001B182B">
        <w:rPr>
          <w:rFonts w:eastAsia="Calibri"/>
          <w:sz w:val="28"/>
          <w:szCs w:val="28"/>
        </w:rPr>
        <w:t xml:space="preserve"> </w:t>
      </w:r>
      <w:r w:rsidR="00643F62" w:rsidRPr="00643F62">
        <w:rPr>
          <w:rFonts w:eastAsia="Calibri"/>
          <w:sz w:val="28"/>
          <w:szCs w:val="28"/>
        </w:rPr>
        <w:t>преимущественно одного потребителя</w:t>
      </w:r>
      <w:r w:rsidR="00643F62">
        <w:rPr>
          <w:rFonts w:eastAsia="Calibri"/>
          <w:sz w:val="28"/>
          <w:szCs w:val="28"/>
        </w:rPr>
        <w:t xml:space="preserve"> (</w:t>
      </w:r>
      <w:proofErr w:type="spellStart"/>
      <w:r w:rsidR="00643F62">
        <w:rPr>
          <w:rFonts w:eastAsia="Calibri"/>
          <w:sz w:val="28"/>
          <w:szCs w:val="28"/>
        </w:rPr>
        <w:t>моносет</w:t>
      </w:r>
      <w:r w:rsidR="007C21A8">
        <w:rPr>
          <w:rFonts w:eastAsia="Calibri"/>
          <w:sz w:val="28"/>
          <w:szCs w:val="28"/>
        </w:rPr>
        <w:t>и</w:t>
      </w:r>
      <w:proofErr w:type="spellEnd"/>
      <w:r w:rsidR="00643F62">
        <w:rPr>
          <w:rFonts w:eastAsia="Calibri"/>
          <w:sz w:val="28"/>
          <w:szCs w:val="28"/>
        </w:rPr>
        <w:t>).</w:t>
      </w:r>
    </w:p>
    <w:p w:rsidR="005A12E7" w:rsidRPr="00514AA6" w:rsidRDefault="006536FB" w:rsidP="00680CD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5A12E7">
        <w:rPr>
          <w:rFonts w:eastAsia="Calibri"/>
          <w:sz w:val="28"/>
          <w:szCs w:val="28"/>
        </w:rPr>
        <w:t xml:space="preserve"> целях обеспечения сдерживания роста </w:t>
      </w:r>
      <w:r w:rsidR="005A12E7" w:rsidRPr="00E402AB">
        <w:rPr>
          <w:rFonts w:eastAsia="Calibri"/>
          <w:sz w:val="28"/>
          <w:szCs w:val="28"/>
        </w:rPr>
        <w:t xml:space="preserve"> </w:t>
      </w:r>
      <w:r w:rsidR="005A12E7" w:rsidRPr="00DF6A55">
        <w:rPr>
          <w:sz w:val="28"/>
          <w:szCs w:val="28"/>
        </w:rPr>
        <w:t>тариф</w:t>
      </w:r>
      <w:r w:rsidR="005A12E7">
        <w:rPr>
          <w:sz w:val="28"/>
          <w:szCs w:val="28"/>
        </w:rPr>
        <w:t>ов</w:t>
      </w:r>
      <w:r w:rsidR="005A12E7" w:rsidRPr="00DF6A55">
        <w:rPr>
          <w:sz w:val="28"/>
          <w:szCs w:val="28"/>
        </w:rPr>
        <w:t xml:space="preserve"> на услуги по передаче электрической энергии </w:t>
      </w:r>
      <w:r w:rsidR="00AE12B3">
        <w:rPr>
          <w:sz w:val="28"/>
          <w:szCs w:val="28"/>
        </w:rPr>
        <w:t xml:space="preserve">на 2014 год </w:t>
      </w:r>
      <w:r w:rsidR="005A12E7">
        <w:rPr>
          <w:sz w:val="28"/>
          <w:szCs w:val="28"/>
        </w:rPr>
        <w:t xml:space="preserve">для потребителей субъектов Российской Федерации </w:t>
      </w:r>
      <w:r w:rsidR="005A12E7" w:rsidRPr="00E402AB">
        <w:rPr>
          <w:rFonts w:eastAsia="Calibri"/>
          <w:sz w:val="28"/>
          <w:szCs w:val="28"/>
        </w:rPr>
        <w:t xml:space="preserve">Управление регулирования электроэнергетической отрасли </w:t>
      </w:r>
      <w:r w:rsidR="00AE12B3">
        <w:rPr>
          <w:rFonts w:eastAsia="Calibri"/>
          <w:sz w:val="28"/>
          <w:szCs w:val="28"/>
        </w:rPr>
        <w:t xml:space="preserve">ФСТ России </w:t>
      </w:r>
      <w:r w:rsidR="005A12E7" w:rsidRPr="00E402AB">
        <w:rPr>
          <w:rFonts w:eastAsia="Calibri"/>
          <w:sz w:val="28"/>
          <w:szCs w:val="28"/>
        </w:rPr>
        <w:t xml:space="preserve">выносит на </w:t>
      </w:r>
      <w:r w:rsidR="005A12E7">
        <w:rPr>
          <w:rFonts w:eastAsia="Calibri"/>
          <w:sz w:val="28"/>
          <w:szCs w:val="28"/>
        </w:rPr>
        <w:t xml:space="preserve">рассмотрение </w:t>
      </w:r>
      <w:r w:rsidR="005A12E7" w:rsidRPr="00E402AB">
        <w:rPr>
          <w:rFonts w:eastAsia="Calibri"/>
          <w:sz w:val="28"/>
          <w:szCs w:val="28"/>
        </w:rPr>
        <w:t>Правлени</w:t>
      </w:r>
      <w:r w:rsidR="005A12E7">
        <w:rPr>
          <w:rFonts w:eastAsia="Calibri"/>
          <w:sz w:val="28"/>
          <w:szCs w:val="28"/>
        </w:rPr>
        <w:t>я</w:t>
      </w:r>
      <w:r w:rsidR="005A12E7" w:rsidRPr="00E402AB">
        <w:rPr>
          <w:rFonts w:eastAsia="Calibri"/>
          <w:sz w:val="28"/>
          <w:szCs w:val="28"/>
        </w:rPr>
        <w:t xml:space="preserve"> ФСТ России вопрос об утверждении </w:t>
      </w:r>
      <w:r>
        <w:rPr>
          <w:rFonts w:eastAsia="Calibri"/>
          <w:sz w:val="28"/>
          <w:szCs w:val="28"/>
        </w:rPr>
        <w:t xml:space="preserve">вышеперечисленных </w:t>
      </w:r>
      <w:r w:rsidR="005A12E7" w:rsidRPr="00E402AB">
        <w:rPr>
          <w:rFonts w:eastAsia="Calibri"/>
          <w:sz w:val="28"/>
          <w:szCs w:val="28"/>
        </w:rPr>
        <w:t>предельных уровней тарифов на услуги по передаче</w:t>
      </w:r>
      <w:r w:rsidR="005A12E7">
        <w:rPr>
          <w:rFonts w:eastAsia="Calibri"/>
          <w:sz w:val="28"/>
          <w:szCs w:val="28"/>
        </w:rPr>
        <w:t xml:space="preserve"> электрической энергии</w:t>
      </w:r>
      <w:r w:rsidR="000F10DF">
        <w:rPr>
          <w:rFonts w:eastAsia="Calibri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</w:rPr>
        <w:t xml:space="preserve">2014 год. </w:t>
      </w:r>
    </w:p>
    <w:p w:rsidR="000D1502" w:rsidRDefault="000D1502" w:rsidP="0039126D">
      <w:pPr>
        <w:spacing w:after="120" w:line="276" w:lineRule="auto"/>
        <w:ind w:firstLine="709"/>
        <w:jc w:val="both"/>
        <w:rPr>
          <w:sz w:val="28"/>
          <w:szCs w:val="28"/>
        </w:rPr>
      </w:pPr>
    </w:p>
    <w:tbl>
      <w:tblPr>
        <w:tblW w:w="10505" w:type="dxa"/>
        <w:tblLook w:val="0000"/>
      </w:tblPr>
      <w:tblGrid>
        <w:gridCol w:w="5695"/>
        <w:gridCol w:w="4810"/>
      </w:tblGrid>
      <w:tr w:rsidR="005A12E7" w:rsidRPr="00097CB0" w:rsidTr="00B55ED5">
        <w:trPr>
          <w:trHeight w:val="904"/>
        </w:trPr>
        <w:tc>
          <w:tcPr>
            <w:tcW w:w="5695" w:type="dxa"/>
          </w:tcPr>
          <w:p w:rsidR="005A12E7" w:rsidRPr="00097CB0" w:rsidRDefault="005A12E7" w:rsidP="00B55ED5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810" w:type="dxa"/>
          </w:tcPr>
          <w:p w:rsidR="005A12E7" w:rsidRPr="00097CB0" w:rsidRDefault="005A12E7" w:rsidP="00B55ED5">
            <w:pPr>
              <w:pStyle w:val="a3"/>
              <w:jc w:val="left"/>
              <w:rPr>
                <w:szCs w:val="28"/>
              </w:rPr>
            </w:pPr>
          </w:p>
        </w:tc>
      </w:tr>
    </w:tbl>
    <w:p w:rsidR="000D1502" w:rsidRDefault="000D1502" w:rsidP="005A12E7">
      <w:pPr>
        <w:spacing w:after="120"/>
        <w:ind w:firstLine="709"/>
        <w:jc w:val="both"/>
        <w:rPr>
          <w:sz w:val="28"/>
          <w:szCs w:val="28"/>
        </w:rPr>
      </w:pPr>
    </w:p>
    <w:sectPr w:rsidR="000D1502" w:rsidSect="002529A0">
      <w:pgSz w:w="11906" w:h="16838"/>
      <w:pgMar w:top="1134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DE6"/>
    <w:multiLevelType w:val="hybridMultilevel"/>
    <w:tmpl w:val="D758D4B4"/>
    <w:lvl w:ilvl="0" w:tplc="9F14720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1564C"/>
    <w:multiLevelType w:val="hybridMultilevel"/>
    <w:tmpl w:val="9EB8A6C0"/>
    <w:lvl w:ilvl="0" w:tplc="CBB473EC">
      <w:start w:val="1"/>
      <w:numFmt w:val="decimal"/>
      <w:lvlText w:val="%1."/>
      <w:lvlJc w:val="left"/>
      <w:pPr>
        <w:ind w:left="1804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97C29"/>
    <w:multiLevelType w:val="hybridMultilevel"/>
    <w:tmpl w:val="D758D4B4"/>
    <w:lvl w:ilvl="0" w:tplc="9F14720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C1"/>
    <w:rsid w:val="00006191"/>
    <w:rsid w:val="000113E2"/>
    <w:rsid w:val="000146F0"/>
    <w:rsid w:val="00016E96"/>
    <w:rsid w:val="000208EF"/>
    <w:rsid w:val="000214AF"/>
    <w:rsid w:val="0002496A"/>
    <w:rsid w:val="00047950"/>
    <w:rsid w:val="00050DF9"/>
    <w:rsid w:val="0006473C"/>
    <w:rsid w:val="00064CFE"/>
    <w:rsid w:val="00074B13"/>
    <w:rsid w:val="0007598C"/>
    <w:rsid w:val="00096BAD"/>
    <w:rsid w:val="000A5ADF"/>
    <w:rsid w:val="000D1502"/>
    <w:rsid w:val="000E5138"/>
    <w:rsid w:val="000F10DF"/>
    <w:rsid w:val="00105697"/>
    <w:rsid w:val="00116642"/>
    <w:rsid w:val="00134528"/>
    <w:rsid w:val="001412F8"/>
    <w:rsid w:val="00142D72"/>
    <w:rsid w:val="001654A0"/>
    <w:rsid w:val="00186F12"/>
    <w:rsid w:val="001B182B"/>
    <w:rsid w:val="001D28A6"/>
    <w:rsid w:val="001E2B16"/>
    <w:rsid w:val="00246DE1"/>
    <w:rsid w:val="002529A0"/>
    <w:rsid w:val="00262950"/>
    <w:rsid w:val="002A2CDE"/>
    <w:rsid w:val="002A5B94"/>
    <w:rsid w:val="002F43D3"/>
    <w:rsid w:val="0033130F"/>
    <w:rsid w:val="00343F94"/>
    <w:rsid w:val="00344ACD"/>
    <w:rsid w:val="0036759C"/>
    <w:rsid w:val="0039126D"/>
    <w:rsid w:val="003A2212"/>
    <w:rsid w:val="003E61F4"/>
    <w:rsid w:val="003E7743"/>
    <w:rsid w:val="00405DED"/>
    <w:rsid w:val="00406858"/>
    <w:rsid w:val="0041533C"/>
    <w:rsid w:val="004166B1"/>
    <w:rsid w:val="0043603E"/>
    <w:rsid w:val="0045767E"/>
    <w:rsid w:val="004802AE"/>
    <w:rsid w:val="004A334C"/>
    <w:rsid w:val="004D475A"/>
    <w:rsid w:val="004E4EC0"/>
    <w:rsid w:val="00510A1D"/>
    <w:rsid w:val="00512A8F"/>
    <w:rsid w:val="00514AA6"/>
    <w:rsid w:val="0053311C"/>
    <w:rsid w:val="00540CA1"/>
    <w:rsid w:val="00566922"/>
    <w:rsid w:val="00595C84"/>
    <w:rsid w:val="005A12E7"/>
    <w:rsid w:val="005D7171"/>
    <w:rsid w:val="005F5290"/>
    <w:rsid w:val="00630FF3"/>
    <w:rsid w:val="00643F62"/>
    <w:rsid w:val="006527D9"/>
    <w:rsid w:val="006536FB"/>
    <w:rsid w:val="00680CDB"/>
    <w:rsid w:val="006A2A82"/>
    <w:rsid w:val="006E0A04"/>
    <w:rsid w:val="006E4CBC"/>
    <w:rsid w:val="00711663"/>
    <w:rsid w:val="00712F16"/>
    <w:rsid w:val="00716C04"/>
    <w:rsid w:val="00732E6C"/>
    <w:rsid w:val="0074731B"/>
    <w:rsid w:val="007536B4"/>
    <w:rsid w:val="00763B65"/>
    <w:rsid w:val="0077043E"/>
    <w:rsid w:val="00797F7F"/>
    <w:rsid w:val="007C21A8"/>
    <w:rsid w:val="00807399"/>
    <w:rsid w:val="008370B2"/>
    <w:rsid w:val="00842FC0"/>
    <w:rsid w:val="00872E7B"/>
    <w:rsid w:val="00874515"/>
    <w:rsid w:val="0089594A"/>
    <w:rsid w:val="008D4B22"/>
    <w:rsid w:val="009127E9"/>
    <w:rsid w:val="00933DEB"/>
    <w:rsid w:val="00943507"/>
    <w:rsid w:val="00955701"/>
    <w:rsid w:val="00961255"/>
    <w:rsid w:val="009815EC"/>
    <w:rsid w:val="00992602"/>
    <w:rsid w:val="009E0765"/>
    <w:rsid w:val="009E4692"/>
    <w:rsid w:val="009F119F"/>
    <w:rsid w:val="009F3364"/>
    <w:rsid w:val="00A04D3F"/>
    <w:rsid w:val="00A06555"/>
    <w:rsid w:val="00AA31DB"/>
    <w:rsid w:val="00AB6D6C"/>
    <w:rsid w:val="00AE12B3"/>
    <w:rsid w:val="00AE3711"/>
    <w:rsid w:val="00AF46C7"/>
    <w:rsid w:val="00AF53E8"/>
    <w:rsid w:val="00B1019E"/>
    <w:rsid w:val="00B13DC7"/>
    <w:rsid w:val="00B21DA2"/>
    <w:rsid w:val="00B44D33"/>
    <w:rsid w:val="00B55ED5"/>
    <w:rsid w:val="00B64C7F"/>
    <w:rsid w:val="00B90E9A"/>
    <w:rsid w:val="00B921C4"/>
    <w:rsid w:val="00BB322C"/>
    <w:rsid w:val="00BE32BE"/>
    <w:rsid w:val="00C166B8"/>
    <w:rsid w:val="00C30EA4"/>
    <w:rsid w:val="00C4727F"/>
    <w:rsid w:val="00C63729"/>
    <w:rsid w:val="00C81227"/>
    <w:rsid w:val="00CB0B3F"/>
    <w:rsid w:val="00CB1345"/>
    <w:rsid w:val="00CB31C0"/>
    <w:rsid w:val="00CC3C9A"/>
    <w:rsid w:val="00CF3553"/>
    <w:rsid w:val="00D202A2"/>
    <w:rsid w:val="00D32247"/>
    <w:rsid w:val="00D322E8"/>
    <w:rsid w:val="00D340C1"/>
    <w:rsid w:val="00D34C58"/>
    <w:rsid w:val="00D34FC7"/>
    <w:rsid w:val="00D42563"/>
    <w:rsid w:val="00D45FED"/>
    <w:rsid w:val="00D63C6E"/>
    <w:rsid w:val="00E06F92"/>
    <w:rsid w:val="00E34C62"/>
    <w:rsid w:val="00E57969"/>
    <w:rsid w:val="00E8329B"/>
    <w:rsid w:val="00EE00D4"/>
    <w:rsid w:val="00EE0774"/>
    <w:rsid w:val="00EE7A5A"/>
    <w:rsid w:val="00EF74F1"/>
    <w:rsid w:val="00F071A7"/>
    <w:rsid w:val="00F401F4"/>
    <w:rsid w:val="00F45EEA"/>
    <w:rsid w:val="00F5761A"/>
    <w:rsid w:val="00F92203"/>
    <w:rsid w:val="00F92CDE"/>
    <w:rsid w:val="00F972CA"/>
    <w:rsid w:val="00FC0228"/>
    <w:rsid w:val="00FC7590"/>
    <w:rsid w:val="00FD0C4F"/>
    <w:rsid w:val="00FE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40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340C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340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802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0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40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340C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340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802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0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B1853F846F18CC846F5DE53C62B4126E3B036214821FF327B20153E6C954CECA7299EB2DQFgCK" TargetMode="External"/><Relationship Id="rId5" Type="http://schemas.openxmlformats.org/officeDocument/2006/relationships/hyperlink" Target="consultantplus://offline/ref=C73A22A2746935B8CB69F67B487E70D1F9194C5F354DDB7460304201BF8950DBFCA0942A65C15CD6u2Q3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Староверова Александра Анатольевна</dc:creator>
  <cp:lastModifiedBy>Lenovo User</cp:lastModifiedBy>
  <cp:revision>42</cp:revision>
  <cp:lastPrinted>2013-11-28T07:06:00Z</cp:lastPrinted>
  <dcterms:created xsi:type="dcterms:W3CDTF">2013-11-29T14:49:00Z</dcterms:created>
  <dcterms:modified xsi:type="dcterms:W3CDTF">2013-11-29T15:41:00Z</dcterms:modified>
</cp:coreProperties>
</file>