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8F" w:rsidRDefault="00816160" w:rsidP="00E66B98">
      <w:pPr>
        <w:ind w:right="-1"/>
        <w:rPr>
          <w:lang w:val="en-US"/>
        </w:rPr>
      </w:pPr>
    </w:p>
    <w:p w:rsidR="00E66B98" w:rsidRDefault="00E66B98" w:rsidP="00E66B98">
      <w:pPr>
        <w:ind w:right="-1"/>
      </w:pPr>
    </w:p>
    <w:p w:rsidR="00E66B98" w:rsidRDefault="00E66B98" w:rsidP="00E66B98">
      <w:pPr>
        <w:ind w:right="-1"/>
      </w:pPr>
    </w:p>
    <w:p w:rsidR="00B3797E" w:rsidRDefault="00B3797E" w:rsidP="00E66B98">
      <w:pPr>
        <w:ind w:right="-1"/>
      </w:pPr>
    </w:p>
    <w:p w:rsidR="00E66B98" w:rsidRDefault="00E66B98" w:rsidP="00E66B98">
      <w:pPr>
        <w:ind w:right="-1"/>
      </w:pPr>
    </w:p>
    <w:p w:rsidR="009C181D" w:rsidRPr="00E66B98" w:rsidRDefault="009C181D" w:rsidP="00E66B98">
      <w:pPr>
        <w:ind w:right="-1"/>
      </w:pPr>
    </w:p>
    <w:p w:rsidR="00E66B98" w:rsidRDefault="00E66B98" w:rsidP="00E66B98">
      <w:pPr>
        <w:ind w:right="-1"/>
        <w:rPr>
          <w:lang w:val="en-US"/>
        </w:rPr>
      </w:pPr>
    </w:p>
    <w:p w:rsidR="005A0A2E" w:rsidRDefault="00E66B98" w:rsidP="00E66B98">
      <w:pPr>
        <w:spacing w:line="240" w:lineRule="auto"/>
        <w:ind w:right="0" w:firstLine="0"/>
        <w:contextualSpacing/>
        <w:jc w:val="center"/>
        <w:rPr>
          <w:b/>
        </w:rPr>
      </w:pPr>
      <w:r w:rsidRPr="00E66B98">
        <w:rPr>
          <w:b/>
        </w:rPr>
        <w:t>Об утверждении формы инвестиционной программы субъектов электроэнергетики, в уставных капиталах которых участвует государство,</w:t>
      </w:r>
    </w:p>
    <w:p w:rsidR="00E66B98" w:rsidRDefault="00E66B98" w:rsidP="00E66B98">
      <w:pPr>
        <w:spacing w:line="240" w:lineRule="auto"/>
        <w:ind w:right="0" w:firstLine="0"/>
        <w:contextualSpacing/>
        <w:jc w:val="center"/>
        <w:rPr>
          <w:b/>
        </w:rPr>
      </w:pPr>
      <w:r w:rsidRPr="00E66B98">
        <w:rPr>
          <w:b/>
        </w:rPr>
        <w:t xml:space="preserve"> и сетевых организаций</w:t>
      </w:r>
    </w:p>
    <w:p w:rsidR="00E66B98" w:rsidRDefault="00E66B98" w:rsidP="00E66B98">
      <w:pPr>
        <w:spacing w:line="240" w:lineRule="auto"/>
        <w:ind w:right="0" w:firstLine="0"/>
        <w:contextualSpacing/>
      </w:pPr>
    </w:p>
    <w:p w:rsidR="00E66B98" w:rsidRDefault="00E66B98" w:rsidP="003C1BB5">
      <w:pPr>
        <w:autoSpaceDE w:val="0"/>
        <w:autoSpaceDN w:val="0"/>
        <w:adjustRightInd w:val="0"/>
        <w:spacing w:after="0"/>
        <w:ind w:right="0"/>
        <w:contextualSpacing/>
      </w:pPr>
      <w:r>
        <w:t xml:space="preserve">Во исполнение постановления Правительства Российской Федерации от </w:t>
      </w:r>
      <w:r w:rsidR="005A0A2E">
        <w:t xml:space="preserve">             </w:t>
      </w:r>
      <w:r>
        <w:t>1 декабря 2009 г. № 977 «Об инве</w:t>
      </w:r>
      <w:r w:rsidR="003C1BB5">
        <w:t>стиционных программах субъектов электроэнергетики</w:t>
      </w:r>
      <w:r>
        <w:t>»</w:t>
      </w:r>
      <w:r w:rsidR="003C1BB5">
        <w:t xml:space="preserve"> (</w:t>
      </w:r>
      <w:r w:rsidR="003C1BB5">
        <w:rPr>
          <w:rFonts w:cs="Times New Roman"/>
          <w:szCs w:val="28"/>
        </w:rPr>
        <w:t>Собрание законодательства, 2009, № 49, ст. 5978</w:t>
      </w:r>
      <w:r w:rsidR="003C1BB5">
        <w:t>) и в соответствии с пунктом 4.4.3 Положения о Министерстве энергетики Российской Федерации</w:t>
      </w:r>
      <w:r w:rsidR="005A0A2E">
        <w:t>, утвержденного постановлением Правительства</w:t>
      </w:r>
      <w:r w:rsidR="003C1BB5">
        <w:t xml:space="preserve"> </w:t>
      </w:r>
      <w:r w:rsidR="005A0A2E">
        <w:t xml:space="preserve">Российской Федерации </w:t>
      </w:r>
      <w:r w:rsidR="003C1BB5">
        <w:t>от 28 мая 2008 № 400 (</w:t>
      </w:r>
      <w:r w:rsidR="003C1BB5">
        <w:rPr>
          <w:rFonts w:cs="Times New Roman"/>
          <w:szCs w:val="28"/>
        </w:rPr>
        <w:t xml:space="preserve">Собрание законодательства, 2008, № 22, </w:t>
      </w:r>
      <w:r w:rsidR="007674A2">
        <w:rPr>
          <w:rFonts w:cs="Times New Roman"/>
          <w:szCs w:val="28"/>
        </w:rPr>
        <w:t xml:space="preserve">                  </w:t>
      </w:r>
      <w:r w:rsidR="003C1BB5">
        <w:rPr>
          <w:rFonts w:cs="Times New Roman"/>
          <w:szCs w:val="28"/>
        </w:rPr>
        <w:t>ст. 2577</w:t>
      </w:r>
      <w:r w:rsidR="003C1BB5">
        <w:t xml:space="preserve">), п </w:t>
      </w:r>
      <w:proofErr w:type="spellStart"/>
      <w:proofErr w:type="gramStart"/>
      <w:r w:rsidR="003C1BB5">
        <w:t>р</w:t>
      </w:r>
      <w:proofErr w:type="spellEnd"/>
      <w:proofErr w:type="gramEnd"/>
      <w:r w:rsidR="003C1BB5">
        <w:t xml:space="preserve"> и к а </w:t>
      </w:r>
      <w:proofErr w:type="spellStart"/>
      <w:r w:rsidR="003C1BB5">
        <w:t>з</w:t>
      </w:r>
      <w:proofErr w:type="spellEnd"/>
      <w:r w:rsidR="003C1BB5">
        <w:t xml:space="preserve"> </w:t>
      </w:r>
      <w:proofErr w:type="spellStart"/>
      <w:r w:rsidR="003C1BB5">
        <w:t>ы</w:t>
      </w:r>
      <w:proofErr w:type="spellEnd"/>
      <w:r w:rsidR="003C1BB5">
        <w:t xml:space="preserve"> в а ю:</w:t>
      </w:r>
    </w:p>
    <w:p w:rsidR="003C1BB5" w:rsidRDefault="003C1BB5" w:rsidP="003C1BB5">
      <w:pPr>
        <w:autoSpaceDE w:val="0"/>
        <w:autoSpaceDN w:val="0"/>
        <w:adjustRightInd w:val="0"/>
        <w:spacing w:after="0"/>
        <w:ind w:right="0"/>
        <w:contextualSpacing/>
      </w:pPr>
      <w:r>
        <w:t>1. Утвердить прилагаемые:</w:t>
      </w:r>
    </w:p>
    <w:p w:rsidR="003C1BB5" w:rsidRDefault="003C1BB5" w:rsidP="003C1BB5">
      <w:pPr>
        <w:autoSpaceDE w:val="0"/>
        <w:autoSpaceDN w:val="0"/>
        <w:adjustRightInd w:val="0"/>
        <w:spacing w:after="0"/>
        <w:ind w:right="0"/>
        <w:contextualSpacing/>
      </w:pPr>
      <w:r>
        <w:t xml:space="preserve">форму инвестиционной программы </w:t>
      </w:r>
      <w:r w:rsidRPr="003C1BB5">
        <w:t>субъектов электроэнергетики, в уставных капиталах которых участвует государство, и сетевых организаций</w:t>
      </w:r>
      <w:r>
        <w:t xml:space="preserve"> согласно приложениям </w:t>
      </w:r>
      <w:r w:rsidR="00250EF0">
        <w:t>№ 1 – 6;</w:t>
      </w:r>
    </w:p>
    <w:p w:rsidR="005A0A2E" w:rsidRPr="00250EF0" w:rsidRDefault="003C1BB5" w:rsidP="005A0A2E">
      <w:pPr>
        <w:autoSpaceDE w:val="0"/>
        <w:autoSpaceDN w:val="0"/>
        <w:adjustRightInd w:val="0"/>
        <w:spacing w:after="0"/>
        <w:ind w:right="0"/>
        <w:contextualSpacing/>
      </w:pPr>
      <w:r>
        <w:t xml:space="preserve">форму отчета о выполнении инвестиционных программ </w:t>
      </w:r>
      <w:r w:rsidRPr="003C1BB5">
        <w:t>субъектов электроэнергетики, в уставных капиталах которых участвует государство, и сетевых организаций</w:t>
      </w:r>
      <w:r>
        <w:t xml:space="preserve"> за квартал согласно приложениям</w:t>
      </w:r>
      <w:r w:rsidR="00250EF0">
        <w:t xml:space="preserve"> № 7 – 13.</w:t>
      </w:r>
    </w:p>
    <w:p w:rsidR="007674A2" w:rsidRDefault="003C1BB5" w:rsidP="007674A2">
      <w:pPr>
        <w:autoSpaceDE w:val="0"/>
        <w:autoSpaceDN w:val="0"/>
        <w:adjustRightInd w:val="0"/>
        <w:spacing w:after="0"/>
        <w:ind w:right="0"/>
        <w:contextualSpacing/>
        <w:rPr>
          <w:rFonts w:cs="Times New Roman"/>
          <w:szCs w:val="28"/>
        </w:rPr>
      </w:pPr>
      <w:r>
        <w:t>2. Установить, что</w:t>
      </w:r>
      <w:r w:rsidR="007674A2" w:rsidRPr="007674A2">
        <w:t xml:space="preserve"> </w:t>
      </w:r>
      <w:r w:rsidR="007674A2">
        <w:t xml:space="preserve">графики строительства объектов электроэнергетики в составе инвестиционных программ </w:t>
      </w:r>
      <w:r w:rsidR="007674A2">
        <w:rPr>
          <w:rFonts w:cs="Times New Roman"/>
          <w:szCs w:val="28"/>
        </w:rPr>
        <w:t xml:space="preserve">генерирующих компаний, сформированных по результатам торговли мощностью, а также инвестиционных программ, </w:t>
      </w:r>
      <w:r w:rsidR="007674A2">
        <w:rPr>
          <w:rFonts w:cs="Times New Roman"/>
          <w:szCs w:val="28"/>
        </w:rPr>
        <w:lastRenderedPageBreak/>
        <w:t>предусматривающих реализацию инвестиционных проектов, обеспечивающих выдачу мощности генерирующих объектов, определенных по результатам торговли мощностью, составляются по форме согласно приложению № 3.</w:t>
      </w:r>
    </w:p>
    <w:p w:rsidR="009C181D" w:rsidRPr="00CB3A32" w:rsidRDefault="007674A2" w:rsidP="007674A2">
      <w:pPr>
        <w:autoSpaceDE w:val="0"/>
        <w:autoSpaceDN w:val="0"/>
        <w:adjustRightInd w:val="0"/>
        <w:spacing w:after="0"/>
        <w:ind w:right="0"/>
        <w:contextualSpacing/>
      </w:pPr>
      <w:r>
        <w:t xml:space="preserve">3. Рекомендовать </w:t>
      </w:r>
      <w:r w:rsidR="009C181D">
        <w:rPr>
          <w:rFonts w:cs="Times New Roman"/>
          <w:szCs w:val="28"/>
        </w:rPr>
        <w:t>субъект</w:t>
      </w:r>
      <w:r>
        <w:rPr>
          <w:rFonts w:cs="Times New Roman"/>
          <w:szCs w:val="28"/>
        </w:rPr>
        <w:t>ам</w:t>
      </w:r>
      <w:r w:rsidR="009C181D">
        <w:rPr>
          <w:rFonts w:cs="Times New Roman"/>
          <w:szCs w:val="28"/>
        </w:rPr>
        <w:t xml:space="preserve"> электроэнергетики представлят</w:t>
      </w:r>
      <w:r>
        <w:rPr>
          <w:rFonts w:cs="Times New Roman"/>
          <w:szCs w:val="28"/>
        </w:rPr>
        <w:t>ь</w:t>
      </w:r>
      <w:r w:rsidR="009C181D">
        <w:rPr>
          <w:rFonts w:cs="Times New Roman"/>
          <w:szCs w:val="28"/>
        </w:rPr>
        <w:t xml:space="preserve"> в Министерство энергетики Российской Федерации графики реализации </w:t>
      </w:r>
      <w:r w:rsidR="009C181D">
        <w:t>инвестиционных программ</w:t>
      </w:r>
      <w:r w:rsidR="009C181D">
        <w:rPr>
          <w:rFonts w:cs="Times New Roman"/>
          <w:szCs w:val="28"/>
        </w:rPr>
        <w:t xml:space="preserve"> с указанием этапов строительства объектов электроэнергетики </w:t>
      </w:r>
      <w:r w:rsidR="00716D8E">
        <w:rPr>
          <w:rFonts w:cs="Times New Roman"/>
          <w:szCs w:val="28"/>
        </w:rPr>
        <w:t>по</w:t>
      </w:r>
      <w:r w:rsidR="00CB3A32">
        <w:rPr>
          <w:rFonts w:cs="Times New Roman"/>
          <w:szCs w:val="28"/>
        </w:rPr>
        <w:t xml:space="preserve"> форме согласно приложению № 14.</w:t>
      </w:r>
    </w:p>
    <w:p w:rsidR="005A0A2E" w:rsidRPr="005A0A2E" w:rsidRDefault="007674A2" w:rsidP="005A0A2E">
      <w:pPr>
        <w:autoSpaceDE w:val="0"/>
        <w:autoSpaceDN w:val="0"/>
        <w:adjustRightInd w:val="0"/>
        <w:spacing w:after="0"/>
        <w:ind w:right="0"/>
        <w:contextualSpacing/>
      </w:pPr>
      <w:r>
        <w:rPr>
          <w:rFonts w:cs="Times New Roman"/>
          <w:szCs w:val="28"/>
        </w:rPr>
        <w:t>4</w:t>
      </w:r>
      <w:r w:rsidR="005A0A2E">
        <w:rPr>
          <w:rFonts w:cs="Times New Roman"/>
          <w:szCs w:val="28"/>
        </w:rPr>
        <w:t xml:space="preserve">. </w:t>
      </w:r>
      <w:proofErr w:type="gramStart"/>
      <w:r w:rsidR="005A0A2E">
        <w:rPr>
          <w:rFonts w:cs="Times New Roman"/>
          <w:szCs w:val="28"/>
        </w:rPr>
        <w:t>Контроль за</w:t>
      </w:r>
      <w:proofErr w:type="gramEnd"/>
      <w:r w:rsidR="005A0A2E">
        <w:rPr>
          <w:rFonts w:cs="Times New Roman"/>
          <w:szCs w:val="28"/>
        </w:rPr>
        <w:t xml:space="preserve"> исполнением настоящего приказа оставляю за собой.</w:t>
      </w:r>
    </w:p>
    <w:p w:rsidR="003C1BB5" w:rsidRDefault="003C1BB5" w:rsidP="003C1BB5">
      <w:pPr>
        <w:autoSpaceDE w:val="0"/>
        <w:autoSpaceDN w:val="0"/>
        <w:adjustRightInd w:val="0"/>
        <w:spacing w:after="0"/>
        <w:ind w:right="0"/>
        <w:contextualSpacing/>
      </w:pPr>
      <w:r>
        <w:t xml:space="preserve"> </w:t>
      </w:r>
    </w:p>
    <w:p w:rsidR="003C1BB5" w:rsidRDefault="003C1BB5" w:rsidP="005A0A2E">
      <w:pPr>
        <w:autoSpaceDE w:val="0"/>
        <w:autoSpaceDN w:val="0"/>
        <w:adjustRightInd w:val="0"/>
        <w:spacing w:after="0"/>
        <w:ind w:right="0" w:firstLine="0"/>
        <w:contextualSpacing/>
      </w:pPr>
    </w:p>
    <w:p w:rsidR="005A0A2E" w:rsidRDefault="005A0A2E" w:rsidP="005A0A2E">
      <w:pPr>
        <w:autoSpaceDE w:val="0"/>
        <w:autoSpaceDN w:val="0"/>
        <w:adjustRightInd w:val="0"/>
        <w:spacing w:after="0"/>
        <w:ind w:right="0" w:firstLine="0"/>
        <w:contextualSpacing/>
      </w:pPr>
      <w:r>
        <w:t>Министр                                                                                                      С.И. Шматко</w:t>
      </w: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7674A2" w:rsidRDefault="007674A2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7674A2" w:rsidRDefault="007674A2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7674A2" w:rsidRDefault="007674A2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B3797E" w:rsidRDefault="00B3797E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5A1FBD" w:rsidRDefault="005A1FBD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5A1FBD" w:rsidRDefault="005A1FBD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B3797E" w:rsidRDefault="00B3797E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B3797E" w:rsidRDefault="00B3797E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7674A2" w:rsidRDefault="007674A2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5A0A2E">
      <w:pPr>
        <w:autoSpaceDE w:val="0"/>
        <w:autoSpaceDN w:val="0"/>
        <w:adjustRightInd w:val="0"/>
        <w:spacing w:after="0"/>
        <w:ind w:right="0" w:firstLine="0"/>
        <w:contextualSpacing/>
        <w:rPr>
          <w:sz w:val="16"/>
          <w:szCs w:val="16"/>
        </w:rPr>
      </w:pPr>
    </w:p>
    <w:p w:rsidR="00250EF0" w:rsidRDefault="00250EF0" w:rsidP="009D5821">
      <w:pPr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>Департамент развития электроэнергетики</w:t>
      </w:r>
    </w:p>
    <w:p w:rsidR="00250EF0" w:rsidRDefault="00250EF0" w:rsidP="009D5821">
      <w:pPr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>Николайчук Ирина Константиновна</w:t>
      </w:r>
    </w:p>
    <w:p w:rsidR="00250EF0" w:rsidRDefault="00250EF0" w:rsidP="009D5821">
      <w:pPr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>631-97-47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80"/>
      </w:tblGrid>
      <w:tr w:rsidR="00005100" w:rsidRPr="00816160" w:rsidTr="00790DEC">
        <w:tc>
          <w:tcPr>
            <w:tcW w:w="3379" w:type="dxa"/>
          </w:tcPr>
          <w:p w:rsidR="0000510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lastRenderedPageBreak/>
              <w:t>СОГЛАСОВАНО: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Заместитель Министра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экономического развития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Российской Федерации</w:t>
            </w:r>
          </w:p>
          <w:p w:rsidR="0081616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816160">
              <w:rPr>
                <w:sz w:val="26"/>
                <w:szCs w:val="26"/>
              </w:rPr>
              <w:t>______</w:t>
            </w:r>
            <w:r w:rsidR="00816160">
              <w:rPr>
                <w:sz w:val="26"/>
                <w:szCs w:val="26"/>
              </w:rPr>
              <w:t>__</w:t>
            </w:r>
            <w:r w:rsidRPr="00816160">
              <w:rPr>
                <w:sz w:val="26"/>
                <w:szCs w:val="26"/>
              </w:rPr>
              <w:t xml:space="preserve">_____ </w:t>
            </w:r>
          </w:p>
          <w:p w:rsidR="0000510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 xml:space="preserve">«__» </w:t>
            </w:r>
            <w:proofErr w:type="spellStart"/>
            <w:r w:rsidRPr="00816160">
              <w:rPr>
                <w:sz w:val="26"/>
                <w:szCs w:val="26"/>
              </w:rPr>
              <w:t>__________2010</w:t>
            </w:r>
            <w:proofErr w:type="spellEnd"/>
            <w:r w:rsidRPr="0081616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379" w:type="dxa"/>
          </w:tcPr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СОГЛАСОВАНО: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Заместитель Министра финансов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Российской Федерации</w:t>
            </w:r>
          </w:p>
          <w:p w:rsidR="0081616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816160">
              <w:rPr>
                <w:sz w:val="26"/>
                <w:szCs w:val="26"/>
              </w:rPr>
              <w:t xml:space="preserve">_____________ </w:t>
            </w:r>
          </w:p>
          <w:p w:rsidR="0000510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«__» ___________ 2010 г.</w:t>
            </w:r>
          </w:p>
        </w:tc>
        <w:tc>
          <w:tcPr>
            <w:tcW w:w="3380" w:type="dxa"/>
          </w:tcPr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СОГЛАСОВАНО: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 xml:space="preserve">Заместитель </w:t>
            </w:r>
            <w:r w:rsidR="00816160" w:rsidRPr="00816160">
              <w:rPr>
                <w:sz w:val="26"/>
                <w:szCs w:val="26"/>
              </w:rPr>
              <w:t>Р</w:t>
            </w:r>
            <w:r w:rsidRPr="00816160">
              <w:rPr>
                <w:sz w:val="26"/>
                <w:szCs w:val="26"/>
              </w:rPr>
              <w:t>уководителя</w:t>
            </w:r>
          </w:p>
          <w:p w:rsidR="00790DEC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>Федеральной службы по тарифам</w:t>
            </w:r>
          </w:p>
          <w:p w:rsidR="0081616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816160">
              <w:rPr>
                <w:sz w:val="26"/>
                <w:szCs w:val="26"/>
              </w:rPr>
              <w:t xml:space="preserve">_____________ </w:t>
            </w:r>
          </w:p>
          <w:p w:rsidR="00005100" w:rsidRPr="00816160" w:rsidRDefault="00005100" w:rsidP="00816160">
            <w:pPr>
              <w:tabs>
                <w:tab w:val="left" w:pos="3402"/>
              </w:tabs>
              <w:autoSpaceDE w:val="0"/>
              <w:autoSpaceDN w:val="0"/>
              <w:adjustRightInd w:val="0"/>
              <w:spacing w:line="276" w:lineRule="auto"/>
              <w:ind w:left="-142" w:right="-98" w:firstLine="0"/>
              <w:contextualSpacing/>
              <w:jc w:val="center"/>
              <w:rPr>
                <w:sz w:val="26"/>
                <w:szCs w:val="26"/>
              </w:rPr>
            </w:pPr>
            <w:r w:rsidRPr="00816160">
              <w:rPr>
                <w:sz w:val="26"/>
                <w:szCs w:val="26"/>
              </w:rPr>
              <w:t xml:space="preserve">«__» </w:t>
            </w:r>
            <w:proofErr w:type="spellStart"/>
            <w:r w:rsidRPr="00816160">
              <w:rPr>
                <w:sz w:val="26"/>
                <w:szCs w:val="26"/>
              </w:rPr>
              <w:t>____________2010</w:t>
            </w:r>
            <w:proofErr w:type="spellEnd"/>
            <w:r w:rsidRPr="00816160">
              <w:rPr>
                <w:sz w:val="26"/>
                <w:szCs w:val="26"/>
              </w:rPr>
              <w:t xml:space="preserve"> г.</w:t>
            </w:r>
          </w:p>
        </w:tc>
      </w:tr>
    </w:tbl>
    <w:p w:rsidR="00005100" w:rsidRDefault="00005100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Pr="00816160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>Заместитель Министра</w:t>
      </w:r>
      <w:r w:rsidRPr="00816160">
        <w:rPr>
          <w:sz w:val="26"/>
          <w:szCs w:val="26"/>
        </w:rPr>
        <w:tab/>
        <w:t>А.Н. Шишкин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firstLine="0"/>
        <w:rPr>
          <w:sz w:val="26"/>
          <w:szCs w:val="26"/>
        </w:rPr>
      </w:pPr>
      <w:r w:rsidRPr="00816160">
        <w:rPr>
          <w:sz w:val="26"/>
          <w:szCs w:val="26"/>
        </w:rPr>
        <w:t>Заместитель Министра</w:t>
      </w:r>
      <w:r w:rsidRPr="00816160">
        <w:rPr>
          <w:sz w:val="26"/>
          <w:szCs w:val="26"/>
        </w:rPr>
        <w:tab/>
        <w:t xml:space="preserve">С.Ю. </w:t>
      </w:r>
      <w:proofErr w:type="spellStart"/>
      <w:r w:rsidRPr="00816160">
        <w:rPr>
          <w:sz w:val="26"/>
          <w:szCs w:val="26"/>
        </w:rPr>
        <w:t>Светлицкий</w:t>
      </w:r>
      <w:proofErr w:type="spellEnd"/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firstLine="0"/>
        <w:rPr>
          <w:sz w:val="26"/>
          <w:szCs w:val="26"/>
        </w:rPr>
      </w:pPr>
      <w:r w:rsidRPr="00816160">
        <w:rPr>
          <w:sz w:val="26"/>
          <w:szCs w:val="26"/>
        </w:rPr>
        <w:t>Директор Департамента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firstLine="0"/>
        <w:rPr>
          <w:sz w:val="26"/>
          <w:szCs w:val="26"/>
        </w:rPr>
      </w:pPr>
      <w:r w:rsidRPr="00816160">
        <w:rPr>
          <w:sz w:val="26"/>
          <w:szCs w:val="26"/>
        </w:rPr>
        <w:t>управления делами</w:t>
      </w:r>
      <w:r w:rsidRPr="00816160">
        <w:rPr>
          <w:sz w:val="26"/>
          <w:szCs w:val="26"/>
        </w:rPr>
        <w:tab/>
        <w:t xml:space="preserve">В.Н. </w:t>
      </w:r>
      <w:proofErr w:type="spellStart"/>
      <w:r w:rsidRPr="00816160">
        <w:rPr>
          <w:sz w:val="26"/>
          <w:szCs w:val="26"/>
        </w:rPr>
        <w:t>Курзаев</w:t>
      </w:r>
      <w:proofErr w:type="spellEnd"/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 xml:space="preserve">Директор </w:t>
      </w:r>
      <w:proofErr w:type="gramStart"/>
      <w:r w:rsidRPr="00816160">
        <w:rPr>
          <w:sz w:val="26"/>
          <w:szCs w:val="26"/>
        </w:rPr>
        <w:t>Юридического</w:t>
      </w:r>
      <w:proofErr w:type="gramEnd"/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>департамента</w:t>
      </w:r>
      <w:r w:rsidRPr="00816160">
        <w:rPr>
          <w:sz w:val="26"/>
          <w:szCs w:val="26"/>
        </w:rPr>
        <w:tab/>
        <w:t>А.Б. Бондаренко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 xml:space="preserve">Директор Департамента экономического 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>регулирования и имущественных отношений в ТЭК</w:t>
      </w:r>
      <w:r w:rsidRPr="00816160">
        <w:rPr>
          <w:sz w:val="26"/>
          <w:szCs w:val="26"/>
        </w:rPr>
        <w:tab/>
        <w:t>М.Г. Тихонова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>Заместитель директора Департамента</w:t>
      </w:r>
    </w:p>
    <w:p w:rsidR="00790DEC" w:rsidRPr="00816160" w:rsidRDefault="00790DEC" w:rsidP="00790DEC">
      <w:pPr>
        <w:tabs>
          <w:tab w:val="right" w:pos="9922"/>
        </w:tabs>
        <w:spacing w:after="0" w:line="240" w:lineRule="auto"/>
        <w:ind w:right="-1" w:firstLine="0"/>
        <w:rPr>
          <w:sz w:val="26"/>
          <w:szCs w:val="26"/>
        </w:rPr>
      </w:pPr>
      <w:r w:rsidRPr="00816160">
        <w:rPr>
          <w:sz w:val="26"/>
          <w:szCs w:val="26"/>
        </w:rPr>
        <w:t xml:space="preserve">развития </w:t>
      </w:r>
      <w:proofErr w:type="gramStart"/>
      <w:r w:rsidRPr="00816160">
        <w:rPr>
          <w:sz w:val="26"/>
          <w:szCs w:val="26"/>
        </w:rPr>
        <w:t>электроэнергетики</w:t>
      </w:r>
      <w:r w:rsidRPr="00816160">
        <w:rPr>
          <w:sz w:val="26"/>
          <w:szCs w:val="26"/>
        </w:rPr>
        <w:tab/>
        <w:t>Д.</w:t>
      </w:r>
      <w:proofErr w:type="gramEnd"/>
      <w:r w:rsidRPr="00816160">
        <w:rPr>
          <w:sz w:val="26"/>
          <w:szCs w:val="26"/>
        </w:rPr>
        <w:t>А.Козлов</w:t>
      </w:r>
    </w:p>
    <w:p w:rsidR="00790DEC" w:rsidRPr="00816160" w:rsidRDefault="00790DEC" w:rsidP="00790DEC">
      <w:pPr>
        <w:spacing w:after="0" w:line="240" w:lineRule="auto"/>
        <w:ind w:right="-1"/>
        <w:rPr>
          <w:sz w:val="26"/>
          <w:szCs w:val="26"/>
        </w:rPr>
      </w:pPr>
    </w:p>
    <w:p w:rsidR="00790DEC" w:rsidRPr="00816160" w:rsidRDefault="00790DEC" w:rsidP="00790DEC">
      <w:pPr>
        <w:spacing w:after="0" w:line="240" w:lineRule="auto"/>
        <w:ind w:right="-1"/>
        <w:rPr>
          <w:sz w:val="26"/>
          <w:szCs w:val="26"/>
        </w:rPr>
      </w:pPr>
    </w:p>
    <w:p w:rsidR="00790DEC" w:rsidRPr="00816160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26"/>
          <w:szCs w:val="26"/>
        </w:rPr>
      </w:pPr>
    </w:p>
    <w:p w:rsidR="00790DEC" w:rsidRPr="00816160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26"/>
          <w:szCs w:val="2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p w:rsidR="00790DEC" w:rsidRDefault="00790DEC" w:rsidP="0000510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right="0" w:firstLine="0"/>
        <w:contextualSpacing/>
        <w:jc w:val="left"/>
        <w:rPr>
          <w:sz w:val="16"/>
          <w:szCs w:val="16"/>
        </w:rPr>
      </w:pPr>
    </w:p>
    <w:sectPr w:rsidR="00790DEC" w:rsidSect="00E66B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66B98"/>
    <w:rsid w:val="00005100"/>
    <w:rsid w:val="00022A52"/>
    <w:rsid w:val="000E6100"/>
    <w:rsid w:val="001046EF"/>
    <w:rsid w:val="001601F0"/>
    <w:rsid w:val="001704B1"/>
    <w:rsid w:val="002002AD"/>
    <w:rsid w:val="00246E03"/>
    <w:rsid w:val="00250EF0"/>
    <w:rsid w:val="00292030"/>
    <w:rsid w:val="002B312D"/>
    <w:rsid w:val="003269A5"/>
    <w:rsid w:val="003B507E"/>
    <w:rsid w:val="003C1BB5"/>
    <w:rsid w:val="004D3A61"/>
    <w:rsid w:val="00564767"/>
    <w:rsid w:val="005A0A2E"/>
    <w:rsid w:val="005A1FBD"/>
    <w:rsid w:val="005C0F1C"/>
    <w:rsid w:val="005C15B5"/>
    <w:rsid w:val="00603F1A"/>
    <w:rsid w:val="00622C9D"/>
    <w:rsid w:val="00624AB2"/>
    <w:rsid w:val="006A4F6C"/>
    <w:rsid w:val="00714388"/>
    <w:rsid w:val="00716D8E"/>
    <w:rsid w:val="007674A2"/>
    <w:rsid w:val="00790DEC"/>
    <w:rsid w:val="007C7685"/>
    <w:rsid w:val="008135DE"/>
    <w:rsid w:val="00816160"/>
    <w:rsid w:val="008579B9"/>
    <w:rsid w:val="008B2275"/>
    <w:rsid w:val="008B2D21"/>
    <w:rsid w:val="008F49E4"/>
    <w:rsid w:val="009C181D"/>
    <w:rsid w:val="009D5821"/>
    <w:rsid w:val="00A265E3"/>
    <w:rsid w:val="00A63CEB"/>
    <w:rsid w:val="00AB7FEA"/>
    <w:rsid w:val="00AC009A"/>
    <w:rsid w:val="00AE0CD4"/>
    <w:rsid w:val="00B35440"/>
    <w:rsid w:val="00B3797E"/>
    <w:rsid w:val="00B93042"/>
    <w:rsid w:val="00CB3A32"/>
    <w:rsid w:val="00CD1E1F"/>
    <w:rsid w:val="00CF2A03"/>
    <w:rsid w:val="00D05DDB"/>
    <w:rsid w:val="00D56DFD"/>
    <w:rsid w:val="00D6261C"/>
    <w:rsid w:val="00D75489"/>
    <w:rsid w:val="00DC58FC"/>
    <w:rsid w:val="00E0176D"/>
    <w:rsid w:val="00E66B98"/>
    <w:rsid w:val="00E970C6"/>
    <w:rsid w:val="00EB5D32"/>
    <w:rsid w:val="00EC6E03"/>
    <w:rsid w:val="00F13A21"/>
    <w:rsid w:val="00F96415"/>
    <w:rsid w:val="00F970E5"/>
    <w:rsid w:val="00FB100E"/>
    <w:rsid w:val="00FB50DF"/>
    <w:rsid w:val="00FE5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right="-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BB5"/>
    <w:pPr>
      <w:ind w:left="720"/>
      <w:contextualSpacing/>
    </w:pPr>
  </w:style>
  <w:style w:type="table" w:styleId="a4">
    <w:name w:val="Table Grid"/>
    <w:basedOn w:val="a1"/>
    <w:uiPriority w:val="59"/>
    <w:rsid w:val="000051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KalashnikovaAV</dc:creator>
  <cp:keywords/>
  <dc:description/>
  <cp:lastModifiedBy>Nikolaychuk</cp:lastModifiedBy>
  <cp:revision>10</cp:revision>
  <cp:lastPrinted>2010-03-01T15:15:00Z</cp:lastPrinted>
  <dcterms:created xsi:type="dcterms:W3CDTF">2010-02-27T14:02:00Z</dcterms:created>
  <dcterms:modified xsi:type="dcterms:W3CDTF">2010-03-01T15:16:00Z</dcterms:modified>
</cp:coreProperties>
</file>