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786" w:rsidRDefault="00E93786" w:rsidP="00E93786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aps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2</w:t>
      </w:r>
    </w:p>
    <w:p w:rsidR="00E93786" w:rsidRDefault="00E93786" w:rsidP="00E93786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№ 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 заседания Наблюдательного совета</w:t>
      </w:r>
    </w:p>
    <w:p w:rsidR="00E93786" w:rsidRDefault="00E93786" w:rsidP="00E93786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Ассоциации «НП Совет рынка» от 25 февраля 2019 года</w:t>
      </w:r>
    </w:p>
    <w:p w:rsidR="00832BF8" w:rsidRDefault="0084520F">
      <w:pPr>
        <w:ind w:right="-10"/>
        <w:rPr>
          <w:rFonts w:ascii="Garamond" w:hAnsi="Garamond" w:cs="Arial"/>
          <w:b/>
          <w:sz w:val="28"/>
          <w:szCs w:val="28"/>
        </w:rPr>
      </w:pPr>
      <w:bookmarkStart w:id="0" w:name="_GoBack"/>
      <w:bookmarkEnd w:id="0"/>
      <w:r>
        <w:rPr>
          <w:rFonts w:ascii="Garamond" w:hAnsi="Garamond" w:cs="Arial"/>
          <w:b/>
          <w:sz w:val="28"/>
          <w:szCs w:val="28"/>
        </w:rPr>
        <w:t>I.</w:t>
      </w:r>
      <w:r w:rsidR="00710A14" w:rsidRPr="00710A14">
        <w:rPr>
          <w:rFonts w:ascii="Garamond" w:hAnsi="Garamond" w:cs="Arial"/>
          <w:b/>
          <w:sz w:val="28"/>
          <w:szCs w:val="28"/>
        </w:rPr>
        <w:t>1</w:t>
      </w:r>
      <w:r>
        <w:rPr>
          <w:rFonts w:ascii="Garamond" w:hAnsi="Garamond" w:cs="Arial"/>
          <w:b/>
          <w:sz w:val="28"/>
          <w:szCs w:val="28"/>
        </w:rPr>
        <w:t>. Изменения, связанные с проведением отборов проектов модернизации генерирующих объектов тепловых электростанций</w:t>
      </w:r>
    </w:p>
    <w:p w:rsidR="00832BF8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>
        <w:rPr>
          <w:rFonts w:ascii="Garamond" w:hAnsi="Garamond"/>
          <w:sz w:val="24"/>
          <w:szCs w:val="24"/>
        </w:rPr>
        <w:t>Ассоциация «НП Совет рынка».</w:t>
      </w:r>
    </w:p>
    <w:p w:rsidR="00832BF8" w:rsidRDefault="0084520F" w:rsidP="00945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Обоснование:</w:t>
      </w:r>
      <w:r>
        <w:rPr>
          <w:rFonts w:ascii="Garamond" w:hAnsi="Garamond"/>
          <w:sz w:val="24"/>
          <w:szCs w:val="24"/>
        </w:rPr>
        <w:t xml:space="preserve"> </w:t>
      </w:r>
      <w:r w:rsidR="00710A14">
        <w:rPr>
          <w:rFonts w:ascii="Garamond" w:hAnsi="Garamond"/>
          <w:sz w:val="24"/>
          <w:szCs w:val="24"/>
        </w:rPr>
        <w:t>в</w:t>
      </w:r>
      <w:r w:rsidR="00390933">
        <w:rPr>
          <w:rFonts w:ascii="Garamond" w:hAnsi="Garamond"/>
          <w:sz w:val="24"/>
          <w:szCs w:val="24"/>
        </w:rPr>
        <w:t xml:space="preserve"> связи с </w:t>
      </w:r>
      <w:r w:rsidR="00945930">
        <w:rPr>
          <w:rFonts w:ascii="Garamond" w:hAnsi="Garamond"/>
          <w:sz w:val="24"/>
          <w:szCs w:val="24"/>
        </w:rPr>
        <w:t xml:space="preserve">изменением планируемой </w:t>
      </w:r>
      <w:r w:rsidR="00945930" w:rsidRPr="00945930">
        <w:rPr>
          <w:rFonts w:ascii="Garamond" w:hAnsi="Garamond"/>
          <w:sz w:val="24"/>
          <w:szCs w:val="24"/>
        </w:rPr>
        <w:t xml:space="preserve">даты окончания </w:t>
      </w:r>
      <w:proofErr w:type="spellStart"/>
      <w:r w:rsidR="00945930" w:rsidRPr="00945930">
        <w:rPr>
          <w:rFonts w:ascii="Garamond" w:hAnsi="Garamond"/>
          <w:sz w:val="24"/>
          <w:szCs w:val="24"/>
        </w:rPr>
        <w:t>приема</w:t>
      </w:r>
      <w:proofErr w:type="spellEnd"/>
      <w:r w:rsidR="00945930" w:rsidRPr="00945930">
        <w:rPr>
          <w:rFonts w:ascii="Garamond" w:hAnsi="Garamond"/>
          <w:sz w:val="24"/>
          <w:szCs w:val="24"/>
        </w:rPr>
        <w:t xml:space="preserve"> ценовых заявок </w:t>
      </w:r>
      <w:proofErr w:type="spellStart"/>
      <w:r w:rsidR="00945930" w:rsidRPr="00945930">
        <w:rPr>
          <w:rFonts w:ascii="Garamond" w:hAnsi="Garamond"/>
          <w:sz w:val="24"/>
          <w:szCs w:val="24"/>
        </w:rPr>
        <w:t>КОММод</w:t>
      </w:r>
      <w:proofErr w:type="spellEnd"/>
      <w:r w:rsidR="00945930" w:rsidRPr="00945930">
        <w:rPr>
          <w:rFonts w:ascii="Garamond" w:hAnsi="Garamond"/>
          <w:sz w:val="24"/>
          <w:szCs w:val="24"/>
        </w:rPr>
        <w:t xml:space="preserve"> с 29 марта на 2 апреля и сохранения остальных ключевых дат отбора, добавляются изменения в части определения дат публикации необходимой информации для отбора.</w:t>
      </w:r>
    </w:p>
    <w:p w:rsidR="00832BF8" w:rsidRPr="00710A14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="00710A14" w:rsidRPr="00710A14">
        <w:rPr>
          <w:rFonts w:ascii="Garamond" w:eastAsia="Times New Roman" w:hAnsi="Garamond" w:cs="Garamond"/>
          <w:bCs/>
          <w:sz w:val="24"/>
          <w:szCs w:val="24"/>
          <w:lang w:eastAsia="ru-RU"/>
        </w:rPr>
        <w:t>2</w:t>
      </w:r>
      <w:r w:rsidR="006800AE">
        <w:rPr>
          <w:rFonts w:ascii="Garamond" w:eastAsia="Times New Roman" w:hAnsi="Garamond" w:cs="Garamond"/>
          <w:bCs/>
          <w:sz w:val="24"/>
          <w:szCs w:val="24"/>
          <w:lang w:eastAsia="ru-RU"/>
        </w:rPr>
        <w:t>5</w:t>
      </w:r>
      <w:r w:rsidR="00710A14" w:rsidRPr="00710A14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</w:t>
      </w:r>
      <w:r w:rsidR="00710A14">
        <w:rPr>
          <w:rFonts w:ascii="Garamond" w:eastAsia="Times New Roman" w:hAnsi="Garamond" w:cs="Garamond"/>
          <w:bCs/>
          <w:sz w:val="24"/>
          <w:szCs w:val="24"/>
          <w:lang w:eastAsia="ru-RU"/>
        </w:rPr>
        <w:t>февраля 2019 года.</w:t>
      </w:r>
    </w:p>
    <w:p w:rsidR="00832BF8" w:rsidRDefault="00832BF8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</w:rPr>
      </w:pPr>
    </w:p>
    <w:p w:rsidR="00832BF8" w:rsidRDefault="0084520F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ОТБОРОВ ПРОЕКТОВ МОДЕРНИЗАЦИИ ГЕНЕРИРУЮЩЕГО ОБОРУДОВАНИЯ ТЕПЛОВЫХ ЭЛЕКТРОСТАНЦИЙ (Приложение № 19.3.1 к Договору о присоединении к торговой системе оптового рынка)</w:t>
      </w:r>
    </w:p>
    <w:p w:rsidR="00832BF8" w:rsidRDefault="00832BF8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7338"/>
        <w:gridCol w:w="7344"/>
      </w:tblGrid>
      <w:tr w:rsidR="00832BF8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32" w:type="pct"/>
            <w:vAlign w:val="center"/>
          </w:tcPr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34" w:type="pct"/>
            <w:vAlign w:val="center"/>
          </w:tcPr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832BF8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A11B29" w:rsidTr="00671387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A11B29" w:rsidRDefault="00A11B29" w:rsidP="00F2151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4.2</w:t>
            </w:r>
          </w:p>
        </w:tc>
        <w:tc>
          <w:tcPr>
            <w:tcW w:w="2332" w:type="pct"/>
          </w:tcPr>
          <w:p w:rsidR="00671387" w:rsidRDefault="00671387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A11B29">
              <w:rPr>
                <w:rFonts w:ascii="Garamond" w:hAnsi="Garamond"/>
              </w:rPr>
              <w:t xml:space="preserve">Указанная в настоящем пункте информация подлежит публикации не позднее 20 календарных дней до даты начала периода </w:t>
            </w:r>
            <w:proofErr w:type="spellStart"/>
            <w:r w:rsidRPr="00A11B29">
              <w:rPr>
                <w:rFonts w:ascii="Garamond" w:hAnsi="Garamond"/>
              </w:rPr>
              <w:t>приема</w:t>
            </w:r>
            <w:proofErr w:type="spellEnd"/>
            <w:r w:rsidRPr="00A11B29">
              <w:rPr>
                <w:rFonts w:ascii="Garamond" w:hAnsi="Garamond"/>
              </w:rPr>
              <w:t xml:space="preserve"> ценовых заявок </w:t>
            </w:r>
            <w:proofErr w:type="spellStart"/>
            <w:r w:rsidRPr="00A11B29">
              <w:rPr>
                <w:rFonts w:ascii="Garamond" w:hAnsi="Garamond"/>
              </w:rPr>
              <w:t>КОММод</w:t>
            </w:r>
            <w:proofErr w:type="spellEnd"/>
            <w:r w:rsidRPr="00A11B29">
              <w:rPr>
                <w:rFonts w:ascii="Garamond" w:hAnsi="Garamond"/>
              </w:rPr>
              <w:t>, установленной СО в соответствии с п. 2 настоящего Регламента.</w:t>
            </w:r>
          </w:p>
        </w:tc>
        <w:tc>
          <w:tcPr>
            <w:tcW w:w="2334" w:type="pct"/>
          </w:tcPr>
          <w:p w:rsidR="00671387" w:rsidRDefault="00671387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A11B29">
              <w:rPr>
                <w:rFonts w:ascii="Garamond" w:hAnsi="Garamond"/>
              </w:rPr>
              <w:t xml:space="preserve">Указанная в настоящем пункте информация подлежит публикации не позднее 20 календарных дней до даты начала периода </w:t>
            </w:r>
            <w:proofErr w:type="spellStart"/>
            <w:r w:rsidRPr="00A11B29">
              <w:rPr>
                <w:rFonts w:ascii="Garamond" w:hAnsi="Garamond"/>
              </w:rPr>
              <w:t>приема</w:t>
            </w:r>
            <w:proofErr w:type="spellEnd"/>
            <w:r w:rsidRPr="00A11B29">
              <w:rPr>
                <w:rFonts w:ascii="Garamond" w:hAnsi="Garamond"/>
              </w:rPr>
              <w:t xml:space="preserve"> ценовых заявок </w:t>
            </w:r>
            <w:proofErr w:type="spellStart"/>
            <w:r w:rsidRPr="00A11B29">
              <w:rPr>
                <w:rFonts w:ascii="Garamond" w:hAnsi="Garamond"/>
              </w:rPr>
              <w:t>КОММод</w:t>
            </w:r>
            <w:proofErr w:type="spellEnd"/>
            <w:r w:rsidRPr="00A11B29">
              <w:rPr>
                <w:rFonts w:ascii="Garamond" w:hAnsi="Garamond"/>
              </w:rPr>
              <w:t xml:space="preserve">, установленной СО в соответствии с п. 2 настоящего Регламента </w:t>
            </w:r>
            <w:r w:rsidRPr="00A11B29">
              <w:rPr>
                <w:rFonts w:ascii="Garamond" w:hAnsi="Garamond"/>
                <w:highlight w:val="yellow"/>
              </w:rPr>
              <w:t xml:space="preserve">(при проведении отбора на 2022–2024 годы </w:t>
            </w:r>
            <w:r w:rsidR="008E1FAC">
              <w:rPr>
                <w:rFonts w:ascii="Garamond" w:hAnsi="Garamond"/>
                <w:highlight w:val="yellow"/>
              </w:rPr>
              <w:t xml:space="preserve">– </w:t>
            </w:r>
            <w:r w:rsidRPr="00A11B29">
              <w:rPr>
                <w:rFonts w:ascii="Garamond" w:hAnsi="Garamond"/>
                <w:highlight w:val="yellow"/>
              </w:rPr>
              <w:t>не позднее 7 марта 2019 года).</w:t>
            </w:r>
          </w:p>
        </w:tc>
      </w:tr>
      <w:tr w:rsidR="00A11B29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A11B29" w:rsidRDefault="00A11B29" w:rsidP="00F2151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4.3</w:t>
            </w:r>
          </w:p>
        </w:tc>
        <w:tc>
          <w:tcPr>
            <w:tcW w:w="2332" w:type="pct"/>
            <w:vAlign w:val="center"/>
          </w:tcPr>
          <w:p w:rsidR="00A11B29" w:rsidRPr="00A11B29" w:rsidRDefault="00A11B29" w:rsidP="00671387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t xml:space="preserve">Значение нормы доходности по результатам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X</w:t>
            </w:r>
            <w:r w:rsidRPr="00A11B29">
              <w:rPr>
                <w:rFonts w:ascii="Garamond" w:eastAsia="Times New Roman" w:hAnsi="Garamond"/>
                <w:lang w:eastAsia="ru-RU"/>
              </w:rPr>
              <w:t>-1, предшествующего году, в котором проводится отбор проектов модернизации, определяется следующим образом: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НД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б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X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-1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б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/>
                  <w:lang w:eastAsia="ru-RU"/>
                </w:rPr>
                <m:t>-1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, </w:t>
            </w:r>
          </w:p>
          <w:p w:rsidR="00A11B29" w:rsidRPr="00A11B29" w:rsidRDefault="00A11B29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 w:hanging="436"/>
              <w:jc w:val="both"/>
              <w:rPr>
                <w:rFonts w:ascii="Garamond" w:eastAsia="Times New Roman" w:hAnsi="Garamond"/>
                <w:lang w:eastAsia="ru-RU"/>
              </w:rPr>
            </w:pPr>
            <w:proofErr w:type="gramStart"/>
            <w:r w:rsidRPr="00A11B29">
              <w:rPr>
                <w:rFonts w:ascii="Garamond" w:eastAsia="Times New Roman" w:hAnsi="Garamond"/>
                <w:lang w:eastAsia="ru-RU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НД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б</m:t>
                  </m:r>
                </m:sub>
              </m:sSub>
            </m:oMath>
            <w:r w:rsidRPr="00A11B29">
              <w:rPr>
                <w:rFonts w:ascii="Garamond" w:eastAsia="Times New Roman" w:hAnsi="Garamond"/>
                <w:lang w:eastAsia="ru-RU"/>
              </w:rPr>
              <w:t xml:space="preserve"> –</w:t>
            </w:r>
            <w:proofErr w:type="gramEnd"/>
            <w:r w:rsidRPr="00A11B29">
              <w:rPr>
                <w:rFonts w:ascii="Garamond" w:eastAsia="Times New Roman" w:hAnsi="Garamond"/>
                <w:lang w:eastAsia="ru-RU"/>
              </w:rPr>
              <w:t xml:space="preserve"> базовый уровень нормы доходности инвестированного капитала в размере 0.14 (14 процентов годовых);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ДГО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-1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 xml:space="preserve"> 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– средняя доходность долгосрочных государственных обязательств, определяемая по результатам года </w:t>
            </w:r>
            <w:r w:rsidR="00A11B29" w:rsidRPr="00A11B29">
              <w:rPr>
                <w:rFonts w:ascii="Garamond" w:eastAsia="Times New Roman" w:hAnsi="Garamond"/>
                <w:i/>
                <w:lang w:val="en-US" w:eastAsia="ru-RU"/>
              </w:rPr>
              <w:t>X</w:t>
            </w:r>
            <w:r w:rsidR="00A11B29" w:rsidRPr="00A11B29">
              <w:rPr>
                <w:rFonts w:ascii="Garamond" w:eastAsia="Times New Roman" w:hAnsi="Garamond"/>
                <w:lang w:eastAsia="ru-RU"/>
              </w:rPr>
              <w:t>-1 в соответствии с приложением 3 к настоящему Регламенту;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ДГО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б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 xml:space="preserve"> 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– базовый уровень доходности долгосрочных государственных </w:t>
            </w:r>
            <w:r w:rsidR="00A11B29" w:rsidRPr="00A11B29">
              <w:rPr>
                <w:rFonts w:ascii="Garamond" w:eastAsia="Times New Roman" w:hAnsi="Garamond"/>
                <w:lang w:eastAsia="ru-RU"/>
              </w:rPr>
              <w:lastRenderedPageBreak/>
              <w:t xml:space="preserve">обязательств в размере 0,085 (8,5 процента годовых). 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eastAsia="Batang" w:hAnsi="Garamond"/>
                <w:lang w:eastAsia="ar-SA"/>
              </w:rPr>
            </w:pPr>
            <w:r w:rsidRPr="00A11B29">
              <w:rPr>
                <w:rFonts w:ascii="Garamond" w:eastAsia="Batang" w:hAnsi="Garamond"/>
                <w:lang w:eastAsia="ar-SA"/>
              </w:rPr>
              <w:t>Значение нормы доходности, выраженной в долях,</w:t>
            </w:r>
            <w:r w:rsidRPr="00A11B29">
              <w:rPr>
                <w:rFonts w:ascii="Garamond" w:eastAsia="Batang" w:hAnsi="Garamond"/>
                <w:szCs w:val="20"/>
                <w:lang w:eastAsia="ar-SA"/>
              </w:rPr>
              <w:t xml:space="preserve"> округляется методом математического округления до 11 знаков после запятой.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Arial"/>
                <w:lang w:eastAsia="ar-SA"/>
              </w:rPr>
            </w:pPr>
            <w:r w:rsidRPr="00A11B29">
              <w:rPr>
                <w:rFonts w:ascii="Garamond" w:eastAsia="Batang" w:hAnsi="Garamond" w:cs="Arial"/>
                <w:lang w:eastAsia="ar-SA"/>
              </w:rPr>
              <w:t xml:space="preserve">Информация о значении нормы доходности 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по результатам года, предшествующего году, в котором проводится отбор проектов модернизации, представляется КО </w:t>
            </w: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>в СО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не позднее чем за 21 календарный день до даты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КОММод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>, установленной СО в соответствии с п. 2 настоящего Регламента.</w:t>
            </w:r>
          </w:p>
          <w:p w:rsidR="00A11B29" w:rsidRPr="00A11B29" w:rsidRDefault="00A11B29" w:rsidP="00671387">
            <w:pPr>
              <w:widowControl w:val="0"/>
              <w:numPr>
                <w:ilvl w:val="2"/>
                <w:numId w:val="29"/>
              </w:numPr>
              <w:tabs>
                <w:tab w:val="num" w:pos="567"/>
              </w:tabs>
              <w:autoSpaceDE w:val="0"/>
              <w:autoSpaceDN w:val="0"/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t xml:space="preserve">Среднее значение цен по итогам конкурентного отбора ценовых заявок на сутки вперед для каждой ценовой зоны оптового рынка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за период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T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определяется по формуле: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i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Ц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z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,X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РСВ_сред</m:t>
                  </m:r>
                </m:sup>
              </m:sSubSup>
              <m:r>
                <w:rPr>
                  <w:rFonts w:ascii="Cambria Math" w:eastAsia="Batang" w:hAnsi="Cambria Math"/>
                  <w:szCs w:val="20"/>
                  <w:lang w:eastAsia="ar-SA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h</m:t>
                      </m:r>
                    </m:sub>
                  </m:sSub>
                </m:den>
              </m:f>
              <m:r>
                <w:rPr>
                  <w:rFonts w:ascii="Cambria Math" w:eastAsia="Batang" w:hAnsi="Cambria Math"/>
                  <w:szCs w:val="20"/>
                  <w:lang w:eastAsia="ar-SA"/>
                </w:rPr>
                <m:t>∙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naryPr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hϵT</m:t>
                  </m:r>
                </m:sub>
                <m:sup/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(</m:t>
                  </m:r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Batang" w:hAnsi="Cambria Math"/>
                              <w:i/>
                              <w:szCs w:val="20"/>
                              <w:lang w:eastAsia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Nq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h,z</m:t>
                          </m:r>
                        </m:sub>
                      </m:sSub>
                    </m:den>
                  </m:f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∙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naryPr>
                    <m:sub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qϵz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i/>
                              <w:szCs w:val="20"/>
                              <w:lang w:eastAsia="ar-S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Cs w:val="20"/>
                              <w:lang w:val="en-US" w:eastAsia="ar-SA"/>
                            </w:rPr>
                            <m:t>i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,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val="en-US" w:eastAsia="ar-SA"/>
                            </w:rPr>
                            <m:t>q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ГТП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)</m:t>
                  </m:r>
                </m:e>
              </m:nary>
            </m:oMath>
            <w:r w:rsidR="00A11B29" w:rsidRPr="00A11B29">
              <w:rPr>
                <w:rFonts w:ascii="Garamond" w:eastAsia="Batang" w:hAnsi="Garamond" w:cs="Garamond"/>
                <w:sz w:val="20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(руб./</w:t>
            </w:r>
            <w:proofErr w:type="spellStart"/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МВтч</w:t>
            </w:r>
            <w:proofErr w:type="spellEnd"/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),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709" w:hanging="425"/>
              <w:jc w:val="both"/>
              <w:rPr>
                <w:rFonts w:ascii="Garamond" w:eastAsia="Batang" w:hAnsi="Garamond" w:cs="Garamond"/>
                <w:lang w:eastAsia="ar-SA"/>
              </w:rPr>
            </w:pP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λ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i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</m:t>
                  </m:r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q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ГТП</m:t>
                  </m:r>
                </m:sup>
              </m:sSubSup>
            </m:oMath>
            <w:r w:rsidRPr="00A11B29">
              <w:rPr>
                <w:rFonts w:ascii="Garamond" w:eastAsia="Batang" w:hAnsi="Garamond" w:cs="Garamond"/>
                <w:lang w:eastAsia="ar-SA"/>
              </w:rPr>
              <w:t> –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цена электроэнергии в ГТП генерации, рассчитанная для целей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расчета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 стоимости электроэнергии на сутки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вперед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, в ГТП генерации </w:t>
            </w: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q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для участника оптового рынка </w:t>
            </w:r>
            <w:proofErr w:type="spellStart"/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i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в час операционных суток </w:t>
            </w: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h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 xml:space="preserve">, 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в соответствии с пунктом 5.3.2. 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A11B29">
              <w:rPr>
                <w:rFonts w:ascii="Garamond" w:eastAsia="Batang" w:hAnsi="Garamond" w:cs="Garamond"/>
                <w:caps/>
                <w:lang w:eastAsia="ar-SA"/>
              </w:rPr>
              <w:t>п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риложение № 8 к </w:t>
            </w:r>
            <w:r w:rsidRPr="00A11B29">
              <w:rPr>
                <w:rFonts w:ascii="Garamond" w:eastAsia="Batang" w:hAnsi="Garamond" w:cs="Garamond"/>
                <w:i/>
                <w:iCs/>
                <w:caps/>
                <w:lang w:eastAsia="ar-SA"/>
              </w:rPr>
              <w:t>д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>оговору о присоединении к торговой системе оптового рынка</w:t>
            </w:r>
            <w:r w:rsidRPr="00A11B29">
              <w:rPr>
                <w:rFonts w:ascii="Garamond" w:eastAsia="Batang" w:hAnsi="Garamond" w:cs="Garamond"/>
                <w:lang w:eastAsia="ar-SA"/>
              </w:rPr>
              <w:t>) (руб./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МВтч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>);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left="709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Nq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h,z</m:t>
                  </m:r>
                </m:sub>
              </m:sSub>
              <m:r>
                <w:rPr>
                  <w:rFonts w:ascii="Cambria Math" w:eastAsia="Batang" w:hAnsi="Cambria Math"/>
                  <w:szCs w:val="20"/>
                  <w:lang w:eastAsia="ar-SA"/>
                </w:rPr>
                <m:t xml:space="preserve"> </m:t>
              </m:r>
            </m:oMath>
            <w:r w:rsidR="00A11B29" w:rsidRPr="00A11B29">
              <w:rPr>
                <w:rFonts w:ascii="Garamond" w:eastAsia="Batang" w:hAnsi="Garamond" w:cs="Garamond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– количество ГТП генерации, отнесенных к ценовой зоне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z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, в час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h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, принадлежащий периоду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, в отношении которых была определена величина</w:t>
            </w:r>
            <w:r w:rsidR="00A11B29" w:rsidRPr="00A11B29">
              <w:rPr>
                <w:rFonts w:ascii="Garamond" w:eastAsia="Batang" w:hAnsi="Garamond" w:cs="Garamond"/>
                <w:noProof/>
                <w:position w:val="-14"/>
                <w:lang w:eastAsia="ru-RU"/>
              </w:rPr>
              <w:drawing>
                <wp:inline distT="0" distB="0" distL="0" distR="0" wp14:anchorId="3922ECE5" wp14:editId="0BE6EC81">
                  <wp:extent cx="304800" cy="238125"/>
                  <wp:effectExtent l="0" t="0" r="0" b="9525"/>
                  <wp:docPr id="40" name="Рисунок 40" descr="cid:image010.png@01D44608.6F523C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id:image010.png@01D44608.6F523C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</m:t>
                  </m:r>
                </m:sub>
              </m:sSub>
            </m:oMath>
            <w:r w:rsidR="00A11B29" w:rsidRPr="00A11B29">
              <w:rPr>
                <w:rFonts w:ascii="Garamond" w:eastAsia="Batang" w:hAnsi="Garamond" w:cs="Garamond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– количество часов в периоде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709"/>
              <w:jc w:val="both"/>
              <w:rPr>
                <w:rFonts w:ascii="Garamond" w:eastAsia="Batang" w:hAnsi="Garamond" w:cs="Garamond"/>
                <w:i/>
                <w:iCs/>
                <w:lang w:eastAsia="ar-SA"/>
              </w:rPr>
            </w:pP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– период </w:t>
            </w:r>
            <w:r w:rsidRPr="00A11B29">
              <w:rPr>
                <w:rFonts w:ascii="Garamond" w:eastAsia="Batang" w:hAnsi="Garamond" w:cs="Garamond"/>
                <w:lang w:val="en-US" w:eastAsia="ar-SA"/>
              </w:rPr>
              <w:t>c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1-го числа первого месяца периода, равного 12 календарным месяцам, оканчивающимся не позднее 60 календарных дней до даты начала периода подачи заявок на отбор проектов модернизации, установленной СО в соответствии с п. 2 настоящего Регламента, по последний день двенадцатого месяца указанного периода;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X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– текущий год (год отбора проектов модернизации).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eastAsia="Batang" w:hAnsi="Garamond"/>
                <w:lang w:eastAsia="ar-SA"/>
              </w:rPr>
            </w:pPr>
            <w:r w:rsidRPr="00A11B29">
              <w:rPr>
                <w:rFonts w:ascii="Garamond" w:eastAsia="Batang" w:hAnsi="Garamond"/>
                <w:lang w:eastAsia="ar-SA"/>
              </w:rPr>
              <w:t>Среднее значение цен по итогам конкурентного отбора ценовых заявок на сутки вперед</w:t>
            </w:r>
            <w:r w:rsidRPr="00A11B29">
              <w:rPr>
                <w:rFonts w:ascii="Garamond" w:eastAsia="Batang" w:hAnsi="Garamond"/>
                <w:szCs w:val="20"/>
                <w:lang w:eastAsia="ar-SA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Ц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z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,X</m:t>
                  </m:r>
                </m:sub>
                <m:sup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РСВ_сред</m:t>
                  </m:r>
                </m:sup>
              </m:sSubSup>
            </m:oMath>
            <w:r w:rsidRPr="00A11B29">
              <w:rPr>
                <w:rFonts w:ascii="Garamond" w:eastAsia="Batang" w:hAnsi="Garamond"/>
                <w:szCs w:val="20"/>
                <w:lang w:eastAsia="ar-SA"/>
              </w:rPr>
              <w:t xml:space="preserve">) округляется методом математического </w:t>
            </w:r>
            <w:r w:rsidRPr="00A11B29">
              <w:rPr>
                <w:rFonts w:ascii="Garamond" w:eastAsia="Batang" w:hAnsi="Garamond"/>
                <w:szCs w:val="20"/>
                <w:lang w:eastAsia="ar-SA"/>
              </w:rPr>
              <w:lastRenderedPageBreak/>
              <w:t>округления до 2 знаков после запятой.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11B29">
              <w:rPr>
                <w:rFonts w:ascii="Garamond" w:eastAsia="Batang" w:hAnsi="Garamond" w:cs="Garamond"/>
                <w:lang w:eastAsia="ar-SA"/>
              </w:rPr>
              <w:t xml:space="preserve">Рассчитанные в соответствии с данным пунктом средние значения цен РСВ по ценовым зонам оптового рынка представляются КО </w:t>
            </w: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>в СО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не позднее чем за 21 календарный день до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КОММод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>.</w:t>
            </w:r>
          </w:p>
          <w:p w:rsidR="00A11B29" w:rsidRPr="00A11B29" w:rsidRDefault="00A11B29" w:rsidP="00671387">
            <w:pPr>
              <w:widowControl w:val="0"/>
              <w:numPr>
                <w:ilvl w:val="2"/>
                <w:numId w:val="29"/>
              </w:numPr>
              <w:tabs>
                <w:tab w:val="num" w:pos="567"/>
              </w:tabs>
              <w:autoSpaceDE w:val="0"/>
              <w:autoSpaceDN w:val="0"/>
              <w:spacing w:before="120" w:after="12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t xml:space="preserve">Величина индекса потребительских цен для каждого года, входящего в период с 1 января 2018 года до 31 декабря года, предшествующего году, в котором проводится </w:t>
            </w:r>
            <w:proofErr w:type="spellStart"/>
            <w:r w:rsidRPr="00A11B29">
              <w:rPr>
                <w:rFonts w:ascii="Garamond" w:eastAsia="Times New Roman" w:hAnsi="Garamond"/>
                <w:lang w:eastAsia="ru-RU"/>
              </w:rPr>
              <w:t>КОММод</w:t>
            </w:r>
            <w:proofErr w:type="spellEnd"/>
            <w:r w:rsidRPr="00A11B29">
              <w:rPr>
                <w:rFonts w:ascii="Garamond" w:eastAsia="Times New Roman" w:hAnsi="Garamond"/>
                <w:lang w:eastAsia="ru-RU"/>
              </w:rPr>
              <w:t>, (</w:t>
            </w:r>
            <w:r w:rsidRPr="00A11B29">
              <w:rPr>
                <w:rFonts w:ascii="Garamond" w:eastAsia="Times New Roman" w:hAnsi="Garamond"/>
                <w:position w:val="-10"/>
                <w:lang w:eastAsia="ru-RU"/>
              </w:rPr>
              <w:object w:dxaOrig="7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05pt;height:16.65pt" o:ole="">
                  <v:imagedata r:id="rId10" o:title=""/>
                </v:shape>
                <o:OLEObject Type="Embed" ProgID="Equation.3" ShapeID="_x0000_i1025" DrawAspect="Content" ObjectID="_1612366412" r:id="rId11"/>
              </w:objec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), определяется КО в соответствии с порядком определения фактического значения индекса потребительских цен на товары и услуги по Российской Федерации в декабре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Y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к декабрю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Y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-1, предусмотренным </w:t>
            </w:r>
            <w:r w:rsidRPr="00A11B29">
              <w:rPr>
                <w:rFonts w:ascii="Garamond" w:eastAsia="Times New Roman" w:hAnsi="Garamond"/>
                <w:i/>
                <w:lang w:eastAsia="ru-RU"/>
              </w:rPr>
              <w:t>Регламентом определения параметров, необходимых для расчета цены по договорам о предоставлении мощности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(Приложение № 19.6 к </w:t>
            </w:r>
            <w:r w:rsidRPr="00A11B29">
              <w:rPr>
                <w:rFonts w:ascii="Garamond" w:eastAsia="Times New Roman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). Определенные в указанном порядке значения индекса потребительских цен представляются КО </w:t>
            </w:r>
            <w:proofErr w:type="gramStart"/>
            <w:r w:rsidRPr="00A11B29">
              <w:rPr>
                <w:rFonts w:ascii="Garamond" w:eastAsia="Times New Roman" w:hAnsi="Garamond"/>
                <w:lang w:eastAsia="ru-RU"/>
              </w:rPr>
              <w:t>в СО</w:t>
            </w:r>
            <w:proofErr w:type="gramEnd"/>
            <w:r w:rsidRPr="00A11B29">
              <w:rPr>
                <w:rFonts w:ascii="Garamond" w:eastAsia="Times New Roman" w:hAnsi="Garamond"/>
                <w:lang w:eastAsia="ru-RU"/>
              </w:rPr>
              <w:t xml:space="preserve"> не позднее чем за 21 календарный день до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Times New Roman" w:hAnsi="Garamond"/>
                <w:lang w:eastAsia="ru-RU"/>
              </w:rPr>
              <w:t>КОММод</w:t>
            </w:r>
            <w:proofErr w:type="spellEnd"/>
            <w:r w:rsidRPr="00A11B29">
              <w:rPr>
                <w:rFonts w:ascii="Garamond" w:eastAsia="Times New Roman" w:hAnsi="Garamond"/>
                <w:lang w:eastAsia="ru-RU"/>
              </w:rPr>
              <w:t>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34" w:type="pct"/>
            <w:vAlign w:val="center"/>
          </w:tcPr>
          <w:p w:rsidR="00A11B29" w:rsidRPr="00A11B29" w:rsidRDefault="00A11B29" w:rsidP="00671387">
            <w:pPr>
              <w:widowControl w:val="0"/>
              <w:numPr>
                <w:ilvl w:val="2"/>
                <w:numId w:val="30"/>
              </w:numPr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lastRenderedPageBreak/>
              <w:t xml:space="preserve">Значение нормы доходности по результатам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X</w:t>
            </w:r>
            <w:r w:rsidRPr="00A11B29">
              <w:rPr>
                <w:rFonts w:ascii="Garamond" w:eastAsia="Times New Roman" w:hAnsi="Garamond"/>
                <w:lang w:eastAsia="ru-RU"/>
              </w:rPr>
              <w:t>-1, предшествующего году, в котором проводится отбор проектов модернизации, определяется следующим образом: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НД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НД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б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/>
                  <w:lang w:eastAsia="ru-RU"/>
                </w:rPr>
                <m:t>∙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X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-1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/>
                      <w:lang w:eastAsia="ru-RU"/>
                    </w:rPr>
                    <m:t>1+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ДГО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б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/>
                  <w:lang w:eastAsia="ru-RU"/>
                </w:rPr>
                <m:t>-1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, </w:t>
            </w:r>
          </w:p>
          <w:p w:rsidR="00A11B29" w:rsidRPr="00A11B29" w:rsidRDefault="00A11B29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 w:hanging="436"/>
              <w:jc w:val="both"/>
              <w:rPr>
                <w:rFonts w:ascii="Garamond" w:eastAsia="Times New Roman" w:hAnsi="Garamond"/>
                <w:lang w:eastAsia="ru-RU"/>
              </w:rPr>
            </w:pPr>
            <w:proofErr w:type="gramStart"/>
            <w:r w:rsidRPr="00A11B29">
              <w:rPr>
                <w:rFonts w:ascii="Garamond" w:eastAsia="Times New Roman" w:hAnsi="Garamond"/>
                <w:lang w:eastAsia="ru-RU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НД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б</m:t>
                  </m:r>
                </m:sub>
              </m:sSub>
            </m:oMath>
            <w:r w:rsidRPr="00A11B29">
              <w:rPr>
                <w:rFonts w:ascii="Garamond" w:eastAsia="Times New Roman" w:hAnsi="Garamond"/>
                <w:lang w:eastAsia="ru-RU"/>
              </w:rPr>
              <w:t xml:space="preserve"> –</w:t>
            </w:r>
            <w:proofErr w:type="gramEnd"/>
            <w:r w:rsidRPr="00A11B29">
              <w:rPr>
                <w:rFonts w:ascii="Garamond" w:eastAsia="Times New Roman" w:hAnsi="Garamond"/>
                <w:lang w:eastAsia="ru-RU"/>
              </w:rPr>
              <w:t xml:space="preserve"> базовый уровень нормы доходности инвестированного капитала в размере 0.14 (14 процентов годовых);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ДГО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-1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 xml:space="preserve"> 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– средняя доходность долгосрочных государственных обязательств, определяемая по результатам года </w:t>
            </w:r>
            <w:r w:rsidR="00A11B29" w:rsidRPr="00A11B29">
              <w:rPr>
                <w:rFonts w:ascii="Garamond" w:eastAsia="Times New Roman" w:hAnsi="Garamond"/>
                <w:i/>
                <w:lang w:val="en-US" w:eastAsia="ru-RU"/>
              </w:rPr>
              <w:t>X</w:t>
            </w:r>
            <w:r w:rsidR="00A11B29" w:rsidRPr="00A11B29">
              <w:rPr>
                <w:rFonts w:ascii="Garamond" w:eastAsia="Times New Roman" w:hAnsi="Garamond"/>
                <w:lang w:eastAsia="ru-RU"/>
              </w:rPr>
              <w:t>-1 в соответствии с приложением 3 к настоящему Регламенту;</w:t>
            </w:r>
          </w:p>
          <w:p w:rsidR="00A11B29" w:rsidRPr="00A11B29" w:rsidRDefault="00E93786" w:rsidP="00671387">
            <w:pPr>
              <w:widowControl w:val="0"/>
              <w:autoSpaceDE w:val="0"/>
              <w:autoSpaceDN w:val="0"/>
              <w:spacing w:before="120" w:after="120" w:line="240" w:lineRule="auto"/>
              <w:ind w:left="720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ДГО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б</m:t>
                  </m:r>
                </m:sub>
              </m:sSub>
              <m:r>
                <w:rPr>
                  <w:rFonts w:ascii="Cambria Math" w:eastAsia="Times New Roman" w:hAnsi="Cambria Math"/>
                  <w:lang w:eastAsia="ru-RU"/>
                </w:rPr>
                <m:t xml:space="preserve"> </m:t>
              </m:r>
            </m:oMath>
            <w:r w:rsidR="00A11B29" w:rsidRPr="00A11B29">
              <w:rPr>
                <w:rFonts w:ascii="Garamond" w:eastAsia="Times New Roman" w:hAnsi="Garamond"/>
                <w:lang w:eastAsia="ru-RU"/>
              </w:rPr>
              <w:t xml:space="preserve">– базовый уровень доходности долгосрочных государственных </w:t>
            </w:r>
            <w:r w:rsidR="00A11B29" w:rsidRPr="00A11B29">
              <w:rPr>
                <w:rFonts w:ascii="Garamond" w:eastAsia="Times New Roman" w:hAnsi="Garamond"/>
                <w:lang w:eastAsia="ru-RU"/>
              </w:rPr>
              <w:lastRenderedPageBreak/>
              <w:t xml:space="preserve">обязательств в размере 0,085 (8,5 процента годовых). 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eastAsia="Batang" w:hAnsi="Garamond"/>
                <w:lang w:eastAsia="ar-SA"/>
              </w:rPr>
            </w:pPr>
            <w:r w:rsidRPr="00A11B29">
              <w:rPr>
                <w:rFonts w:ascii="Garamond" w:eastAsia="Batang" w:hAnsi="Garamond"/>
                <w:lang w:eastAsia="ar-SA"/>
              </w:rPr>
              <w:t>Значение нормы доходности, выраженной в долях,</w:t>
            </w:r>
            <w:r w:rsidRPr="00A11B29">
              <w:rPr>
                <w:rFonts w:ascii="Garamond" w:eastAsia="Batang" w:hAnsi="Garamond"/>
                <w:szCs w:val="20"/>
                <w:lang w:eastAsia="ar-SA"/>
              </w:rPr>
              <w:t xml:space="preserve"> округляется методом математического округления до 11 знаков после запятой.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Arial"/>
                <w:lang w:eastAsia="ar-SA"/>
              </w:rPr>
            </w:pPr>
            <w:r w:rsidRPr="00A11B29">
              <w:rPr>
                <w:rFonts w:ascii="Garamond" w:eastAsia="Batang" w:hAnsi="Garamond" w:cs="Arial"/>
                <w:lang w:eastAsia="ar-SA"/>
              </w:rPr>
              <w:t xml:space="preserve">Информация о значении нормы доходности 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по результатам года, предшествующего году, в котором проводится отбор проектов модернизации, представляется КО </w:t>
            </w: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>в СО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не позднее чем за 21 календарный день до даты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КОММод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>, установленной СО в соответствии с п. 2 настоящего Регламента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A11B29">
              <w:rPr>
                <w:rFonts w:ascii="Garamond" w:hAnsi="Garamond"/>
                <w:highlight w:val="yellow"/>
              </w:rPr>
              <w:t xml:space="preserve">(при проведении отбора на 2022–2024 годы </w:t>
            </w:r>
            <w:r w:rsidR="008E1FAC">
              <w:rPr>
                <w:rFonts w:ascii="Garamond" w:hAnsi="Garamond"/>
                <w:highlight w:val="yellow"/>
              </w:rPr>
              <w:t xml:space="preserve">– </w:t>
            </w:r>
            <w:r w:rsidRPr="00A11B29">
              <w:rPr>
                <w:rFonts w:ascii="Garamond" w:hAnsi="Garamond"/>
                <w:highlight w:val="yellow"/>
              </w:rPr>
              <w:t xml:space="preserve">не позднее </w:t>
            </w:r>
            <w:r>
              <w:rPr>
                <w:rFonts w:ascii="Garamond" w:hAnsi="Garamond"/>
                <w:highlight w:val="yellow"/>
              </w:rPr>
              <w:t>6</w:t>
            </w:r>
            <w:r w:rsidRPr="00A11B29">
              <w:rPr>
                <w:rFonts w:ascii="Garamond" w:hAnsi="Garamond"/>
                <w:highlight w:val="yellow"/>
              </w:rPr>
              <w:t xml:space="preserve"> марта 2019 года)</w:t>
            </w:r>
            <w:r w:rsidRPr="00A11B29">
              <w:rPr>
                <w:rFonts w:ascii="Garamond" w:eastAsia="Batang" w:hAnsi="Garamond" w:cs="Garamond"/>
                <w:lang w:eastAsia="ar-SA"/>
              </w:rPr>
              <w:t>.</w:t>
            </w:r>
          </w:p>
          <w:p w:rsidR="00A11B29" w:rsidRPr="00A11B29" w:rsidRDefault="00A11B29" w:rsidP="00671387">
            <w:pPr>
              <w:widowControl w:val="0"/>
              <w:numPr>
                <w:ilvl w:val="2"/>
                <w:numId w:val="30"/>
              </w:numPr>
              <w:tabs>
                <w:tab w:val="num" w:pos="567"/>
              </w:tabs>
              <w:autoSpaceDE w:val="0"/>
              <w:autoSpaceDN w:val="0"/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t xml:space="preserve">Среднее значение цен по итогам конкурентного отбора ценовых заявок на сутки вперед для каждой ценовой зоны оптового рынка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за период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T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определяется по формуле: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i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Ц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z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,X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РСВ_сред</m:t>
                  </m:r>
                </m:sup>
              </m:sSubSup>
              <m:r>
                <w:rPr>
                  <w:rFonts w:ascii="Cambria Math" w:eastAsia="Batang" w:hAnsi="Cambria Math"/>
                  <w:szCs w:val="20"/>
                  <w:lang w:eastAsia="ar-SA"/>
                </w:rPr>
                <m:t>=</m:t>
              </m:r>
              <m:f>
                <m:f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fPr>
                <m:num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sSubPr>
                    <m:e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h</m:t>
                      </m:r>
                    </m:sub>
                  </m:sSub>
                </m:den>
              </m:f>
              <m:r>
                <w:rPr>
                  <w:rFonts w:ascii="Cambria Math" w:eastAsia="Batang" w:hAnsi="Cambria Math"/>
                  <w:szCs w:val="20"/>
                  <w:lang w:eastAsia="ar-SA"/>
                </w:rPr>
                <m:t>∙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naryPr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hϵT</m:t>
                  </m:r>
                </m:sub>
                <m:sup/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(</m:t>
                  </m:r>
                  <m:f>
                    <m:fPr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fPr>
                    <m:num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Batang" w:hAnsi="Cambria Math"/>
                              <w:i/>
                              <w:szCs w:val="20"/>
                              <w:lang w:eastAsia="ar-S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Nq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h,z</m:t>
                          </m:r>
                        </m:sub>
                      </m:sSub>
                    </m:den>
                  </m:f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∙</m:t>
                  </m:r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Batang" w:hAnsi="Cambria Math"/>
                          <w:i/>
                          <w:szCs w:val="20"/>
                          <w:lang w:eastAsia="ar-SA"/>
                        </w:rPr>
                      </m:ctrlPr>
                    </m:naryPr>
                    <m:sub>
                      <m:r>
                        <w:rPr>
                          <w:rFonts w:ascii="Cambria Math" w:eastAsia="Batang" w:hAnsi="Cambria Math"/>
                          <w:szCs w:val="20"/>
                          <w:lang w:eastAsia="ar-SA"/>
                        </w:rPr>
                        <m:t>qϵz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eastAsia="Batang" w:hAnsi="Cambria Math"/>
                              <w:i/>
                              <w:szCs w:val="20"/>
                              <w:lang w:eastAsia="ar-S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="Batang" w:hAnsi="Cambria Math"/>
                              <w:szCs w:val="20"/>
                              <w:lang w:val="en-US" w:eastAsia="ar-SA"/>
                            </w:rPr>
                            <m:t>i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,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val="en-US" w:eastAsia="ar-SA"/>
                            </w:rPr>
                            <m:t>q</m:t>
                          </m:r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eastAsia="Batang" w:hAnsi="Cambria Math"/>
                              <w:szCs w:val="20"/>
                              <w:lang w:eastAsia="ar-SA"/>
                            </w:rPr>
                            <m:t>ГТП</m:t>
                          </m:r>
                        </m:sup>
                      </m:sSubSup>
                    </m:e>
                  </m:nary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)</m:t>
                  </m:r>
                </m:e>
              </m:nary>
            </m:oMath>
            <w:r w:rsidR="00A11B29" w:rsidRPr="00A11B29">
              <w:rPr>
                <w:rFonts w:ascii="Garamond" w:eastAsia="Batang" w:hAnsi="Garamond" w:cs="Garamond"/>
                <w:sz w:val="20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(руб./</w:t>
            </w:r>
            <w:proofErr w:type="spellStart"/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МВтч</w:t>
            </w:r>
            <w:proofErr w:type="spellEnd"/>
            <w:r w:rsidR="00A11B29" w:rsidRPr="00A11B29">
              <w:rPr>
                <w:rFonts w:ascii="Garamond" w:eastAsia="Batang" w:hAnsi="Garamond" w:cs="Garamond"/>
                <w:szCs w:val="24"/>
                <w:lang w:eastAsia="ar-SA"/>
              </w:rPr>
              <w:t>),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709" w:hanging="425"/>
              <w:jc w:val="both"/>
              <w:rPr>
                <w:rFonts w:ascii="Garamond" w:eastAsia="Batang" w:hAnsi="Garamond" w:cs="Garamond"/>
                <w:lang w:eastAsia="ar-SA"/>
              </w:rPr>
            </w:pP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λ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i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</m:t>
                  </m:r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q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ГТП</m:t>
                  </m:r>
                </m:sup>
              </m:sSubSup>
            </m:oMath>
            <w:r w:rsidRPr="00A11B29">
              <w:rPr>
                <w:rFonts w:ascii="Garamond" w:eastAsia="Batang" w:hAnsi="Garamond" w:cs="Garamond"/>
                <w:lang w:eastAsia="ar-SA"/>
              </w:rPr>
              <w:t> –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цена электроэнергии в ГТП генерации, рассчитанная для целей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расчета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 стоимости электроэнергии на сутки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вперед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, в ГТП генерации </w:t>
            </w: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q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для участника оптового рынка </w:t>
            </w:r>
            <w:proofErr w:type="spellStart"/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i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в час операционных суток </w:t>
            </w: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h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 xml:space="preserve">, 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в соответствии с пунктом 5.3.2. 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(</w:t>
            </w:r>
            <w:r w:rsidRPr="00A11B29">
              <w:rPr>
                <w:rFonts w:ascii="Garamond" w:eastAsia="Batang" w:hAnsi="Garamond" w:cs="Garamond"/>
                <w:caps/>
                <w:lang w:eastAsia="ar-SA"/>
              </w:rPr>
              <w:t>п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риложение № 8 к </w:t>
            </w:r>
            <w:r w:rsidRPr="00A11B29">
              <w:rPr>
                <w:rFonts w:ascii="Garamond" w:eastAsia="Batang" w:hAnsi="Garamond" w:cs="Garamond"/>
                <w:i/>
                <w:iCs/>
                <w:caps/>
                <w:lang w:eastAsia="ar-SA"/>
              </w:rPr>
              <w:t>д</w:t>
            </w:r>
            <w:r w:rsidRPr="00A11B29">
              <w:rPr>
                <w:rFonts w:ascii="Garamond" w:eastAsia="Batang" w:hAnsi="Garamond" w:cs="Garamond"/>
                <w:i/>
                <w:iCs/>
                <w:lang w:eastAsia="ar-SA"/>
              </w:rPr>
              <w:t>оговору о присоединении к торговой системе оптового рынка</w:t>
            </w:r>
            <w:r w:rsidRPr="00A11B29">
              <w:rPr>
                <w:rFonts w:ascii="Garamond" w:eastAsia="Batang" w:hAnsi="Garamond" w:cs="Garamond"/>
                <w:lang w:eastAsia="ar-SA"/>
              </w:rPr>
              <w:t>) (руб./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МВтч</w:t>
            </w:r>
            <w:proofErr w:type="spellEnd"/>
            <w:r w:rsidRPr="00A11B29">
              <w:rPr>
                <w:rFonts w:ascii="Garamond" w:eastAsia="Batang" w:hAnsi="Garamond" w:cs="Garamond"/>
                <w:lang w:eastAsia="ar-SA"/>
              </w:rPr>
              <w:t>);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left="709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Nq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h,z</m:t>
                  </m:r>
                </m:sub>
              </m:sSub>
              <m:r>
                <w:rPr>
                  <w:rFonts w:ascii="Cambria Math" w:eastAsia="Batang" w:hAnsi="Cambria Math"/>
                  <w:szCs w:val="20"/>
                  <w:lang w:eastAsia="ar-SA"/>
                </w:rPr>
                <m:t xml:space="preserve"> </m:t>
              </m:r>
            </m:oMath>
            <w:r w:rsidR="00A11B29" w:rsidRPr="00A11B29">
              <w:rPr>
                <w:rFonts w:ascii="Garamond" w:eastAsia="Batang" w:hAnsi="Garamond" w:cs="Garamond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– количество ГТП генерации, отнесенных к ценовой зоне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z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, в час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h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, принадлежащий периоду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, в отношении которых была определена величина</w:t>
            </w:r>
            <w:r w:rsidR="00A11B29" w:rsidRPr="00A11B29">
              <w:rPr>
                <w:rFonts w:ascii="Garamond" w:eastAsia="Batang" w:hAnsi="Garamond" w:cs="Garamond"/>
                <w:noProof/>
                <w:position w:val="-14"/>
                <w:lang w:eastAsia="ru-RU"/>
              </w:rPr>
              <w:drawing>
                <wp:inline distT="0" distB="0" distL="0" distR="0" wp14:anchorId="2459BC5D" wp14:editId="219BF5EF">
                  <wp:extent cx="304800" cy="238125"/>
                  <wp:effectExtent l="0" t="0" r="0" b="9525"/>
                  <wp:docPr id="41" name="Рисунок 41" descr="cid:image010.png@01D44608.6F523C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id:image010.png@01D44608.6F523C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A11B29" w:rsidRPr="00A11B29" w:rsidRDefault="00E93786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h</m:t>
                  </m:r>
                </m:sub>
              </m:sSub>
            </m:oMath>
            <w:r w:rsidR="00A11B29" w:rsidRPr="00A11B29">
              <w:rPr>
                <w:rFonts w:ascii="Garamond" w:eastAsia="Batang" w:hAnsi="Garamond" w:cs="Garamond"/>
                <w:szCs w:val="20"/>
                <w:lang w:eastAsia="ar-SA"/>
              </w:rPr>
              <w:t xml:space="preserve"> 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 xml:space="preserve">– количество часов в периоде </w:t>
            </w:r>
            <w:r w:rsidR="00A11B29"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="00A11B29" w:rsidRPr="00A11B29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709"/>
              <w:jc w:val="both"/>
              <w:rPr>
                <w:rFonts w:ascii="Garamond" w:eastAsia="Batang" w:hAnsi="Garamond" w:cs="Garamond"/>
                <w:i/>
                <w:iCs/>
                <w:lang w:eastAsia="ar-SA"/>
              </w:rPr>
            </w:pP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T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– период </w:t>
            </w:r>
            <w:r w:rsidRPr="00A11B29">
              <w:rPr>
                <w:rFonts w:ascii="Garamond" w:eastAsia="Batang" w:hAnsi="Garamond" w:cs="Garamond"/>
                <w:lang w:val="en-US" w:eastAsia="ar-SA"/>
              </w:rPr>
              <w:t>c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1-го числа первого месяца периода, равного 12 календарным месяцам, оканчивающимся не позднее 60 календарных дней до даты начала периода подачи заявок на отбор проектов модернизации, установленной СО в соответствии с п. 2 настоящего Регламента, по последний день двенадцатого месяца указанного периода;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11B29">
              <w:rPr>
                <w:rFonts w:ascii="Garamond" w:eastAsia="Batang" w:hAnsi="Garamond" w:cs="Garamond"/>
                <w:i/>
                <w:iCs/>
                <w:lang w:val="en-US" w:eastAsia="ar-SA"/>
              </w:rPr>
              <w:t>X</w:t>
            </w:r>
            <w:r w:rsidRPr="00A11B29">
              <w:rPr>
                <w:rFonts w:ascii="Garamond" w:eastAsia="Batang" w:hAnsi="Garamond" w:cs="Garamond"/>
                <w:lang w:eastAsia="ar-SA"/>
              </w:rPr>
              <w:t xml:space="preserve"> – текущий год (год отбора проектов модернизации).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left="567"/>
              <w:jc w:val="both"/>
              <w:rPr>
                <w:rFonts w:ascii="Garamond" w:eastAsia="Batang" w:hAnsi="Garamond"/>
                <w:lang w:eastAsia="ar-SA"/>
              </w:rPr>
            </w:pPr>
            <w:r w:rsidRPr="00A11B29">
              <w:rPr>
                <w:rFonts w:ascii="Garamond" w:eastAsia="Batang" w:hAnsi="Garamond"/>
                <w:lang w:eastAsia="ar-SA"/>
              </w:rPr>
              <w:t xml:space="preserve">Среднее значение цен по итогам конкурентного отбора ценовых заявок </w:t>
            </w:r>
            <w:r w:rsidRPr="00A11B29">
              <w:rPr>
                <w:rFonts w:ascii="Garamond" w:eastAsia="Batang" w:hAnsi="Garamond"/>
                <w:lang w:eastAsia="ar-SA"/>
              </w:rPr>
              <w:lastRenderedPageBreak/>
              <w:t>на сутки вперед</w:t>
            </w:r>
            <w:r w:rsidRPr="00A11B29">
              <w:rPr>
                <w:rFonts w:ascii="Garamond" w:eastAsia="Batang" w:hAnsi="Garamond"/>
                <w:szCs w:val="20"/>
                <w:lang w:eastAsia="ar-SA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szCs w:val="2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Ц</m:t>
                  </m:r>
                </m:e>
                <m:sub>
                  <m:r>
                    <w:rPr>
                      <w:rFonts w:ascii="Cambria Math" w:eastAsia="Batang" w:hAnsi="Cambria Math"/>
                      <w:szCs w:val="20"/>
                      <w:lang w:val="en-US" w:eastAsia="ar-SA"/>
                    </w:rPr>
                    <m:t>z</m:t>
                  </m:r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,X</m:t>
                  </m:r>
                </m:sub>
                <m:sup>
                  <m:r>
                    <w:rPr>
                      <w:rFonts w:ascii="Cambria Math" w:eastAsia="Batang" w:hAnsi="Cambria Math"/>
                      <w:szCs w:val="20"/>
                      <w:lang w:eastAsia="ar-SA"/>
                    </w:rPr>
                    <m:t>РСВ_сред</m:t>
                  </m:r>
                </m:sup>
              </m:sSubSup>
            </m:oMath>
            <w:r w:rsidRPr="00A11B29">
              <w:rPr>
                <w:rFonts w:ascii="Garamond" w:eastAsia="Batang" w:hAnsi="Garamond"/>
                <w:szCs w:val="20"/>
                <w:lang w:eastAsia="ar-SA"/>
              </w:rPr>
              <w:t>) округляется методом математического округления до 2 знаков после запятой.</w:t>
            </w:r>
          </w:p>
          <w:p w:rsidR="00A11B29" w:rsidRPr="00A11B29" w:rsidRDefault="00A11B29" w:rsidP="00671387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11B29">
              <w:rPr>
                <w:rFonts w:ascii="Garamond" w:eastAsia="Batang" w:hAnsi="Garamond" w:cs="Garamond"/>
                <w:lang w:eastAsia="ar-SA"/>
              </w:rPr>
              <w:t xml:space="preserve">Рассчитанные в соответствии с данным пунктом средние значения цен РСВ по ценовым зонам оптового рынка представляются КО </w:t>
            </w:r>
            <w:proofErr w:type="gramStart"/>
            <w:r w:rsidRPr="00A11B29">
              <w:rPr>
                <w:rFonts w:ascii="Garamond" w:eastAsia="Batang" w:hAnsi="Garamond" w:cs="Garamond"/>
                <w:lang w:eastAsia="ar-SA"/>
              </w:rPr>
              <w:t>в СО</w:t>
            </w:r>
            <w:proofErr w:type="gramEnd"/>
            <w:r w:rsidRPr="00A11B29">
              <w:rPr>
                <w:rFonts w:ascii="Garamond" w:eastAsia="Batang" w:hAnsi="Garamond" w:cs="Garamond"/>
                <w:lang w:eastAsia="ar-SA"/>
              </w:rPr>
              <w:t xml:space="preserve"> не позднее чем за 21 календарный день до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Batang" w:hAnsi="Garamond" w:cs="Garamond"/>
                <w:lang w:eastAsia="ar-SA"/>
              </w:rPr>
              <w:t>КОММод</w:t>
            </w:r>
            <w:proofErr w:type="spellEnd"/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A11B29">
              <w:rPr>
                <w:rFonts w:ascii="Garamond" w:hAnsi="Garamond"/>
                <w:highlight w:val="yellow"/>
              </w:rPr>
              <w:t xml:space="preserve">(при проведении отбора на 2022–2024 годы </w:t>
            </w:r>
            <w:r w:rsidR="008E1FAC">
              <w:rPr>
                <w:rFonts w:ascii="Garamond" w:hAnsi="Garamond"/>
                <w:highlight w:val="yellow"/>
              </w:rPr>
              <w:t xml:space="preserve">– </w:t>
            </w:r>
            <w:r w:rsidRPr="00A11B29">
              <w:rPr>
                <w:rFonts w:ascii="Garamond" w:hAnsi="Garamond"/>
                <w:highlight w:val="yellow"/>
              </w:rPr>
              <w:t xml:space="preserve">не позднее </w:t>
            </w:r>
            <w:r>
              <w:rPr>
                <w:rFonts w:ascii="Garamond" w:hAnsi="Garamond"/>
                <w:highlight w:val="yellow"/>
              </w:rPr>
              <w:t>6</w:t>
            </w:r>
            <w:r w:rsidRPr="00A11B29">
              <w:rPr>
                <w:rFonts w:ascii="Garamond" w:hAnsi="Garamond"/>
                <w:highlight w:val="yellow"/>
              </w:rPr>
              <w:t xml:space="preserve"> марта 2019 года)</w:t>
            </w:r>
            <w:r w:rsidRPr="00A11B29">
              <w:rPr>
                <w:rFonts w:ascii="Garamond" w:eastAsia="Batang" w:hAnsi="Garamond" w:cs="Garamond"/>
                <w:lang w:eastAsia="ar-SA"/>
              </w:rPr>
              <w:t>.</w:t>
            </w:r>
          </w:p>
          <w:p w:rsidR="00A11B29" w:rsidRPr="00C924E0" w:rsidRDefault="00A11B29" w:rsidP="00671387">
            <w:pPr>
              <w:widowControl w:val="0"/>
              <w:numPr>
                <w:ilvl w:val="2"/>
                <w:numId w:val="30"/>
              </w:numPr>
              <w:tabs>
                <w:tab w:val="num" w:pos="567"/>
              </w:tabs>
              <w:autoSpaceDE w:val="0"/>
              <w:autoSpaceDN w:val="0"/>
              <w:spacing w:before="120" w:after="120" w:line="240" w:lineRule="auto"/>
              <w:ind w:left="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11B29">
              <w:rPr>
                <w:rFonts w:ascii="Garamond" w:eastAsia="Times New Roman" w:hAnsi="Garamond"/>
                <w:lang w:eastAsia="ru-RU"/>
              </w:rPr>
              <w:t xml:space="preserve">Величина индекса потребительских цен для каждого года, входящего в период с 1 января 2018 года до 31 декабря года, предшествующего году, в котором проводится </w:t>
            </w:r>
            <w:proofErr w:type="spellStart"/>
            <w:r w:rsidRPr="00A11B29">
              <w:rPr>
                <w:rFonts w:ascii="Garamond" w:eastAsia="Times New Roman" w:hAnsi="Garamond"/>
                <w:lang w:eastAsia="ru-RU"/>
              </w:rPr>
              <w:t>КОММод</w:t>
            </w:r>
            <w:proofErr w:type="spellEnd"/>
            <w:r w:rsidRPr="00A11B29">
              <w:rPr>
                <w:rFonts w:ascii="Garamond" w:eastAsia="Times New Roman" w:hAnsi="Garamond"/>
                <w:lang w:eastAsia="ru-RU"/>
              </w:rPr>
              <w:t>, (</w:t>
            </w:r>
            <w:r w:rsidRPr="00A11B29">
              <w:rPr>
                <w:rFonts w:ascii="Garamond" w:eastAsia="Times New Roman" w:hAnsi="Garamond"/>
                <w:position w:val="-10"/>
                <w:lang w:eastAsia="ru-RU"/>
              </w:rPr>
              <w:object w:dxaOrig="720" w:dyaOrig="340">
                <v:shape id="_x0000_i1026" type="#_x0000_t75" style="width:37.05pt;height:16.65pt" o:ole="">
                  <v:imagedata r:id="rId10" o:title=""/>
                </v:shape>
                <o:OLEObject Type="Embed" ProgID="Equation.3" ShapeID="_x0000_i1026" DrawAspect="Content" ObjectID="_1612366413" r:id="rId12"/>
              </w:objec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), определяется КО в соответствии с порядком определения фактического значения индекса потребительских цен на товары и услуги по Российской Федерации в декабре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Y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к декабрю года </w:t>
            </w:r>
            <w:r w:rsidRPr="00A11B29">
              <w:rPr>
                <w:rFonts w:ascii="Garamond" w:eastAsia="Times New Roman" w:hAnsi="Garamond"/>
                <w:i/>
                <w:lang w:val="en-US" w:eastAsia="ru-RU"/>
              </w:rPr>
              <w:t>Y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-1, предусмотренным </w:t>
            </w:r>
            <w:r w:rsidRPr="00A11B29">
              <w:rPr>
                <w:rFonts w:ascii="Garamond" w:eastAsia="Times New Roman" w:hAnsi="Garamond"/>
                <w:i/>
                <w:lang w:eastAsia="ru-RU"/>
              </w:rPr>
              <w:t>Регламентом определения параметров, необходимых для расчета цены по договорам о предоставлении мощности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 (Приложение № 19.6 к </w:t>
            </w:r>
            <w:r w:rsidRPr="00A11B29">
              <w:rPr>
                <w:rFonts w:ascii="Garamond" w:eastAsia="Times New Roman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Pr="00A11B29">
              <w:rPr>
                <w:rFonts w:ascii="Garamond" w:eastAsia="Times New Roman" w:hAnsi="Garamond"/>
                <w:lang w:eastAsia="ru-RU"/>
              </w:rPr>
              <w:t xml:space="preserve">). Определенные в указанном порядке значения индекса потребительских цен представляются КО </w:t>
            </w:r>
            <w:proofErr w:type="gramStart"/>
            <w:r w:rsidRPr="00A11B29">
              <w:rPr>
                <w:rFonts w:ascii="Garamond" w:eastAsia="Times New Roman" w:hAnsi="Garamond"/>
                <w:lang w:eastAsia="ru-RU"/>
              </w:rPr>
              <w:t>в СО</w:t>
            </w:r>
            <w:proofErr w:type="gramEnd"/>
            <w:r w:rsidRPr="00A11B29">
              <w:rPr>
                <w:rFonts w:ascii="Garamond" w:eastAsia="Times New Roman" w:hAnsi="Garamond"/>
                <w:lang w:eastAsia="ru-RU"/>
              </w:rPr>
              <w:t xml:space="preserve"> не позднее чем за 21 календарный день до начала периода приема ценовых заявок участников </w:t>
            </w:r>
            <w:proofErr w:type="spellStart"/>
            <w:r w:rsidRPr="00A11B29">
              <w:rPr>
                <w:rFonts w:ascii="Garamond" w:eastAsia="Times New Roman" w:hAnsi="Garamond"/>
                <w:lang w:eastAsia="ru-RU"/>
              </w:rPr>
              <w:t>КОММод</w:t>
            </w:r>
            <w:proofErr w:type="spellEnd"/>
            <w:r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A11B29">
              <w:rPr>
                <w:rFonts w:ascii="Garamond" w:hAnsi="Garamond"/>
                <w:highlight w:val="yellow"/>
              </w:rPr>
              <w:t xml:space="preserve">(при проведении отбора на 2022–2024 годы </w:t>
            </w:r>
            <w:r w:rsidR="008E1FAC">
              <w:rPr>
                <w:rFonts w:ascii="Garamond" w:hAnsi="Garamond"/>
                <w:highlight w:val="yellow"/>
              </w:rPr>
              <w:t xml:space="preserve">– </w:t>
            </w:r>
            <w:r w:rsidRPr="00A11B29">
              <w:rPr>
                <w:rFonts w:ascii="Garamond" w:hAnsi="Garamond"/>
                <w:highlight w:val="yellow"/>
              </w:rPr>
              <w:t xml:space="preserve">не позднее </w:t>
            </w:r>
            <w:r>
              <w:rPr>
                <w:rFonts w:ascii="Garamond" w:hAnsi="Garamond"/>
                <w:highlight w:val="yellow"/>
              </w:rPr>
              <w:t>6</w:t>
            </w:r>
            <w:r w:rsidRPr="00A11B29">
              <w:rPr>
                <w:rFonts w:ascii="Garamond" w:hAnsi="Garamond"/>
                <w:highlight w:val="yellow"/>
              </w:rPr>
              <w:t xml:space="preserve"> марта 2019 года)</w:t>
            </w:r>
            <w:r w:rsidRPr="00A11B29">
              <w:rPr>
                <w:rFonts w:ascii="Garamond" w:eastAsia="Times New Roman" w:hAnsi="Garamond"/>
                <w:lang w:eastAsia="ru-RU"/>
              </w:rPr>
              <w:t>.</w:t>
            </w:r>
          </w:p>
        </w:tc>
      </w:tr>
    </w:tbl>
    <w:p w:rsidR="007A7FC9" w:rsidRDefault="007A7FC9" w:rsidP="001A119A">
      <w:pPr>
        <w:rPr>
          <w:rFonts w:ascii="Garamond" w:hAnsi="Garamond"/>
          <w:b/>
        </w:rPr>
      </w:pPr>
    </w:p>
    <w:sectPr w:rsidR="007A7FC9" w:rsidSect="00811B7A">
      <w:footerReference w:type="default" r:id="rId13"/>
      <w:pgSz w:w="16838" w:h="11906" w:orient="landscape" w:code="9"/>
      <w:pgMar w:top="1134" w:right="720" w:bottom="426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B59" w:rsidRDefault="00553B59">
      <w:pPr>
        <w:spacing w:after="0" w:line="240" w:lineRule="auto"/>
      </w:pPr>
      <w:r>
        <w:separator/>
      </w:r>
    </w:p>
  </w:endnote>
  <w:endnote w:type="continuationSeparator" w:id="0">
    <w:p w:rsidR="00553B59" w:rsidRDefault="00553B59">
      <w:pPr>
        <w:spacing w:after="0" w:line="240" w:lineRule="auto"/>
      </w:pPr>
      <w:r>
        <w:continuationSeparator/>
      </w:r>
    </w:p>
  </w:endnote>
  <w:endnote w:type="continuationNotice" w:id="1">
    <w:p w:rsidR="00553B59" w:rsidRDefault="00553B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878509"/>
      <w:docPartObj>
        <w:docPartGallery w:val="Page Numbers (Bottom of Page)"/>
        <w:docPartUnique/>
      </w:docPartObj>
    </w:sdtPr>
    <w:sdtEndPr/>
    <w:sdtContent>
      <w:p w:rsidR="00A11B29" w:rsidRDefault="00A11B29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786" w:rsidRPr="00E93786">
          <w:rPr>
            <w:noProof/>
            <w:lang w:val="ru-RU"/>
          </w:rPr>
          <w:t>3</w:t>
        </w:r>
        <w:r>
          <w:fldChar w:fldCharType="end"/>
        </w:r>
      </w:p>
    </w:sdtContent>
  </w:sdt>
  <w:p w:rsidR="00A11B29" w:rsidRDefault="00A11B29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B59" w:rsidRDefault="00553B59">
      <w:pPr>
        <w:spacing w:after="0" w:line="240" w:lineRule="auto"/>
      </w:pPr>
      <w:r>
        <w:separator/>
      </w:r>
    </w:p>
  </w:footnote>
  <w:footnote w:type="continuationSeparator" w:id="0">
    <w:p w:rsidR="00553B59" w:rsidRDefault="00553B59">
      <w:pPr>
        <w:spacing w:after="0" w:line="240" w:lineRule="auto"/>
      </w:pPr>
      <w:r>
        <w:continuationSeparator/>
      </w:r>
    </w:p>
  </w:footnote>
  <w:footnote w:type="continuationNotice" w:id="1">
    <w:p w:rsidR="00553B59" w:rsidRDefault="00553B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67F6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6E1480"/>
    <w:multiLevelType w:val="hybridMultilevel"/>
    <w:tmpl w:val="636EC7F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D131A4"/>
    <w:multiLevelType w:val="hybridMultilevel"/>
    <w:tmpl w:val="2ABA75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A1174C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 w15:restartNumberingAfterBreak="0">
    <w:nsid w:val="12CF3B7D"/>
    <w:multiLevelType w:val="hybridMultilevel"/>
    <w:tmpl w:val="A0127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12542"/>
    <w:multiLevelType w:val="multilevel"/>
    <w:tmpl w:val="7140FE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6E255D"/>
    <w:multiLevelType w:val="hybridMultilevel"/>
    <w:tmpl w:val="F6D62B7A"/>
    <w:lvl w:ilvl="0" w:tplc="DAF47CDA">
      <w:start w:val="1"/>
      <w:numFmt w:val="decimal"/>
      <w:pStyle w:val="a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181BE1"/>
    <w:multiLevelType w:val="hybridMultilevel"/>
    <w:tmpl w:val="6D640EB8"/>
    <w:lvl w:ilvl="0" w:tplc="F70E758C">
      <w:start w:val="1"/>
      <w:numFmt w:val="bullet"/>
      <w:lvlText w:val="-"/>
      <w:lvlJc w:val="left"/>
      <w:pPr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2193EC2"/>
    <w:multiLevelType w:val="hybridMultilevel"/>
    <w:tmpl w:val="7362EE52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" w15:restartNumberingAfterBreak="0">
    <w:nsid w:val="30B37EF6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33480084"/>
    <w:multiLevelType w:val="hybridMultilevel"/>
    <w:tmpl w:val="7362EE52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" w15:restartNumberingAfterBreak="0">
    <w:nsid w:val="348936C7"/>
    <w:multiLevelType w:val="hybridMultilevel"/>
    <w:tmpl w:val="3C08767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C647CAB"/>
    <w:multiLevelType w:val="hybridMultilevel"/>
    <w:tmpl w:val="BBF2B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02115"/>
    <w:multiLevelType w:val="multilevel"/>
    <w:tmpl w:val="D3DE7F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E56DB6"/>
    <w:multiLevelType w:val="multilevel"/>
    <w:tmpl w:val="7140FE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C81E3D"/>
    <w:multiLevelType w:val="multilevel"/>
    <w:tmpl w:val="3834B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716200E"/>
    <w:multiLevelType w:val="hybridMultilevel"/>
    <w:tmpl w:val="BBF2B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64F6D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9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656224BC"/>
    <w:multiLevelType w:val="multilevel"/>
    <w:tmpl w:val="D1509A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5BA5968"/>
    <w:multiLevelType w:val="hybridMultilevel"/>
    <w:tmpl w:val="15469E0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47205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i w:val="0"/>
        <w:sz w:val="22"/>
        <w:szCs w:val="22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B3A5700"/>
    <w:multiLevelType w:val="hybridMultilevel"/>
    <w:tmpl w:val="146A9850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D0B2D"/>
    <w:multiLevelType w:val="hybridMultilevel"/>
    <w:tmpl w:val="FEEC3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E3C59"/>
    <w:multiLevelType w:val="multilevel"/>
    <w:tmpl w:val="B854DE0C"/>
    <w:lvl w:ilvl="0">
      <w:start w:val="5"/>
      <w:numFmt w:val="decimal"/>
      <w:lvlText w:val="%1."/>
      <w:lvlJc w:val="left"/>
      <w:pPr>
        <w:ind w:left="480" w:hanging="480"/>
      </w:pPr>
      <w:rPr>
        <w:rFonts w:ascii="Garamond" w:hAnsi="Garamond" w:hint="default"/>
        <w:color w:val="000000"/>
        <w:sz w:val="22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ascii="Garamond" w:hAnsi="Garamond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Garamond" w:hAnsi="Garamond" w:hint="default"/>
        <w:color w:val="000000"/>
        <w:sz w:val="22"/>
      </w:rPr>
    </w:lvl>
  </w:abstractNum>
  <w:abstractNum w:abstractNumId="25" w15:restartNumberingAfterBreak="0">
    <w:nsid w:val="79FD33CD"/>
    <w:multiLevelType w:val="hybridMultilevel"/>
    <w:tmpl w:val="DC5A06F0"/>
    <w:lvl w:ilvl="0" w:tplc="81446FAE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D237AD2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 w15:restartNumberingAfterBreak="0">
    <w:nsid w:val="7E10789B"/>
    <w:multiLevelType w:val="hybridMultilevel"/>
    <w:tmpl w:val="3A94BD72"/>
    <w:lvl w:ilvl="0" w:tplc="ECC26ECE">
      <w:start w:val="2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651EB"/>
    <w:multiLevelType w:val="hybridMultilevel"/>
    <w:tmpl w:val="CEAA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F554587"/>
    <w:multiLevelType w:val="multilevel"/>
    <w:tmpl w:val="7E8664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9"/>
  </w:num>
  <w:num w:numId="5">
    <w:abstractNumId w:val="2"/>
  </w:num>
  <w:num w:numId="6">
    <w:abstractNumId w:val="12"/>
  </w:num>
  <w:num w:numId="7">
    <w:abstractNumId w:val="0"/>
  </w:num>
  <w:num w:numId="8">
    <w:abstractNumId w:val="18"/>
  </w:num>
  <w:num w:numId="9">
    <w:abstractNumId w:val="26"/>
  </w:num>
  <w:num w:numId="10">
    <w:abstractNumId w:val="16"/>
  </w:num>
  <w:num w:numId="11">
    <w:abstractNumId w:val="4"/>
  </w:num>
  <w:num w:numId="12">
    <w:abstractNumId w:val="3"/>
  </w:num>
  <w:num w:numId="13">
    <w:abstractNumId w:val="25"/>
  </w:num>
  <w:num w:numId="14">
    <w:abstractNumId w:val="22"/>
  </w:num>
  <w:num w:numId="15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7"/>
  </w:num>
  <w:num w:numId="18">
    <w:abstractNumId w:val="5"/>
  </w:num>
  <w:num w:numId="19">
    <w:abstractNumId w:val="13"/>
  </w:num>
  <w:num w:numId="20">
    <w:abstractNumId w:val="23"/>
  </w:num>
  <w:num w:numId="21">
    <w:abstractNumId w:val="20"/>
  </w:num>
  <w:num w:numId="22">
    <w:abstractNumId w:val="28"/>
  </w:num>
  <w:num w:numId="23">
    <w:abstractNumId w:val="27"/>
  </w:num>
  <w:num w:numId="24">
    <w:abstractNumId w:val="24"/>
  </w:num>
  <w:num w:numId="25">
    <w:abstractNumId w:val="9"/>
  </w:num>
  <w:num w:numId="26">
    <w:abstractNumId w:val="14"/>
  </w:num>
  <w:num w:numId="27">
    <w:abstractNumId w:val="8"/>
  </w:num>
  <w:num w:numId="28">
    <w:abstractNumId w:val="11"/>
  </w:num>
  <w:num w:numId="29">
    <w:abstractNumId w:val="6"/>
  </w:num>
  <w:num w:numId="3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12F63"/>
    <w:rsid w:val="000142F2"/>
    <w:rsid w:val="000152B5"/>
    <w:rsid w:val="000842F0"/>
    <w:rsid w:val="00091440"/>
    <w:rsid w:val="000B13E9"/>
    <w:rsid w:val="000D2A9D"/>
    <w:rsid w:val="000E1AFC"/>
    <w:rsid w:val="000E44B6"/>
    <w:rsid w:val="000E5320"/>
    <w:rsid w:val="00112CA2"/>
    <w:rsid w:val="00116CD1"/>
    <w:rsid w:val="0014189B"/>
    <w:rsid w:val="0014570F"/>
    <w:rsid w:val="00145D98"/>
    <w:rsid w:val="00152C5C"/>
    <w:rsid w:val="001562E8"/>
    <w:rsid w:val="00170671"/>
    <w:rsid w:val="001A119A"/>
    <w:rsid w:val="001E16AD"/>
    <w:rsid w:val="001F1B45"/>
    <w:rsid w:val="002037B0"/>
    <w:rsid w:val="00244D65"/>
    <w:rsid w:val="00257E48"/>
    <w:rsid w:val="00264645"/>
    <w:rsid w:val="0030527D"/>
    <w:rsid w:val="00342C82"/>
    <w:rsid w:val="00355829"/>
    <w:rsid w:val="0036716D"/>
    <w:rsid w:val="00390933"/>
    <w:rsid w:val="00395E0B"/>
    <w:rsid w:val="003C36C4"/>
    <w:rsid w:val="003F02C5"/>
    <w:rsid w:val="00400D7E"/>
    <w:rsid w:val="00404D14"/>
    <w:rsid w:val="0041292D"/>
    <w:rsid w:val="00415B93"/>
    <w:rsid w:val="00432CD5"/>
    <w:rsid w:val="004334EC"/>
    <w:rsid w:val="004339EA"/>
    <w:rsid w:val="004523C5"/>
    <w:rsid w:val="004551B0"/>
    <w:rsid w:val="00492FAF"/>
    <w:rsid w:val="004C0FC5"/>
    <w:rsid w:val="004F0C9F"/>
    <w:rsid w:val="004F3586"/>
    <w:rsid w:val="00506A0B"/>
    <w:rsid w:val="005407D5"/>
    <w:rsid w:val="00543BC4"/>
    <w:rsid w:val="005513B8"/>
    <w:rsid w:val="00551FC2"/>
    <w:rsid w:val="00553725"/>
    <w:rsid w:val="00553B59"/>
    <w:rsid w:val="00583C51"/>
    <w:rsid w:val="00585AE6"/>
    <w:rsid w:val="0059463B"/>
    <w:rsid w:val="00595C5C"/>
    <w:rsid w:val="00596EF3"/>
    <w:rsid w:val="005B20D2"/>
    <w:rsid w:val="005C67A7"/>
    <w:rsid w:val="005D5200"/>
    <w:rsid w:val="005E6771"/>
    <w:rsid w:val="005F6E41"/>
    <w:rsid w:val="006004EE"/>
    <w:rsid w:val="00610388"/>
    <w:rsid w:val="006450CB"/>
    <w:rsid w:val="00654F44"/>
    <w:rsid w:val="00671387"/>
    <w:rsid w:val="006800AE"/>
    <w:rsid w:val="006860BB"/>
    <w:rsid w:val="00690B58"/>
    <w:rsid w:val="006B555D"/>
    <w:rsid w:val="006D082E"/>
    <w:rsid w:val="006D7094"/>
    <w:rsid w:val="006F58D6"/>
    <w:rsid w:val="00710A14"/>
    <w:rsid w:val="00727EF4"/>
    <w:rsid w:val="00761676"/>
    <w:rsid w:val="00792240"/>
    <w:rsid w:val="00794270"/>
    <w:rsid w:val="007A11A9"/>
    <w:rsid w:val="007A7FC9"/>
    <w:rsid w:val="007B29DE"/>
    <w:rsid w:val="007C25D5"/>
    <w:rsid w:val="007C44BE"/>
    <w:rsid w:val="007E704F"/>
    <w:rsid w:val="00811B7A"/>
    <w:rsid w:val="00811D20"/>
    <w:rsid w:val="008152F0"/>
    <w:rsid w:val="00815F64"/>
    <w:rsid w:val="00816990"/>
    <w:rsid w:val="00832BF8"/>
    <w:rsid w:val="0084520F"/>
    <w:rsid w:val="008A20DE"/>
    <w:rsid w:val="008A4C2B"/>
    <w:rsid w:val="008B5971"/>
    <w:rsid w:val="008D2678"/>
    <w:rsid w:val="008E1FAC"/>
    <w:rsid w:val="008E2567"/>
    <w:rsid w:val="009002DB"/>
    <w:rsid w:val="00921E39"/>
    <w:rsid w:val="0092548B"/>
    <w:rsid w:val="00945930"/>
    <w:rsid w:val="009B16BF"/>
    <w:rsid w:val="009E4DB4"/>
    <w:rsid w:val="009E523D"/>
    <w:rsid w:val="00A0663B"/>
    <w:rsid w:val="00A11B29"/>
    <w:rsid w:val="00A12C19"/>
    <w:rsid w:val="00A36995"/>
    <w:rsid w:val="00A52C34"/>
    <w:rsid w:val="00A63FA6"/>
    <w:rsid w:val="00A77B0D"/>
    <w:rsid w:val="00AD77A7"/>
    <w:rsid w:val="00B03DE1"/>
    <w:rsid w:val="00B31349"/>
    <w:rsid w:val="00B444EB"/>
    <w:rsid w:val="00B75BD2"/>
    <w:rsid w:val="00B80C9D"/>
    <w:rsid w:val="00BD17D9"/>
    <w:rsid w:val="00BE4402"/>
    <w:rsid w:val="00BF3F17"/>
    <w:rsid w:val="00C045D7"/>
    <w:rsid w:val="00C21BF4"/>
    <w:rsid w:val="00C369AF"/>
    <w:rsid w:val="00C40B01"/>
    <w:rsid w:val="00C462AB"/>
    <w:rsid w:val="00C65CE5"/>
    <w:rsid w:val="00C67808"/>
    <w:rsid w:val="00C87B96"/>
    <w:rsid w:val="00C924E0"/>
    <w:rsid w:val="00CA7709"/>
    <w:rsid w:val="00CD3D2B"/>
    <w:rsid w:val="00CD44D8"/>
    <w:rsid w:val="00CE0438"/>
    <w:rsid w:val="00CF420E"/>
    <w:rsid w:val="00D00DCD"/>
    <w:rsid w:val="00D17DE7"/>
    <w:rsid w:val="00D33B84"/>
    <w:rsid w:val="00D706B0"/>
    <w:rsid w:val="00D72AB5"/>
    <w:rsid w:val="00D84279"/>
    <w:rsid w:val="00D934AE"/>
    <w:rsid w:val="00DD19E2"/>
    <w:rsid w:val="00E93786"/>
    <w:rsid w:val="00EA2052"/>
    <w:rsid w:val="00EA42E5"/>
    <w:rsid w:val="00EA4414"/>
    <w:rsid w:val="00EC4ABA"/>
    <w:rsid w:val="00F14090"/>
    <w:rsid w:val="00F21515"/>
    <w:rsid w:val="00F521E2"/>
    <w:rsid w:val="00F52B71"/>
    <w:rsid w:val="00F703B7"/>
    <w:rsid w:val="00F72B93"/>
    <w:rsid w:val="00F76B7D"/>
    <w:rsid w:val="00F77C8B"/>
    <w:rsid w:val="00FA3B9D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0"/>
    <w:link w:val="10"/>
    <w:autoRedefine/>
    <w:qFormat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0"/>
    <w:next w:val="a0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0"/>
    <w:next w:val="a0"/>
    <w:link w:val="41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aliases w:val="h5,h51,H5,H51,h52,test,Block Label,Level 3 - i"/>
    <w:basedOn w:val="a0"/>
    <w:next w:val="a1"/>
    <w:link w:val="50"/>
    <w:uiPriority w:val="99"/>
    <w:qFormat/>
    <w:pPr>
      <w:tabs>
        <w:tab w:val="num" w:pos="360"/>
      </w:tabs>
      <w:suppressAutoHyphens/>
      <w:spacing w:before="120" w:after="120" w:line="240" w:lineRule="auto"/>
      <w:ind w:left="360" w:hanging="360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0"/>
    <w:next w:val="5"/>
    <w:link w:val="60"/>
    <w:qFormat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0"/>
    <w:next w:val="a0"/>
    <w:link w:val="70"/>
    <w:qFormat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0"/>
    <w:next w:val="a0"/>
    <w:link w:val="80"/>
    <w:qFormat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0"/>
    <w:next w:val="a0"/>
    <w:link w:val="90"/>
    <w:qFormat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2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2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2"/>
    <w:link w:val="40"/>
    <w:uiPriority w:val="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5">
    <w:name w:val="Знак"/>
    <w:basedOn w:val="a0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0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paragraph" w:styleId="a1">
    <w:name w:val="Body Text"/>
    <w:aliases w:val="body text"/>
    <w:basedOn w:val="a0"/>
    <w:link w:val="a7"/>
    <w:uiPriority w:val="9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7">
    <w:name w:val="Основной текст Знак"/>
    <w:aliases w:val="body text Знак"/>
    <w:basedOn w:val="a2"/>
    <w:link w:val="a1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0"/>
    <w:uiPriority w:val="99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8">
    <w:name w:val="Body Text Indent"/>
    <w:basedOn w:val="a0"/>
    <w:link w:val="a9"/>
    <w:uiPriority w:val="99"/>
    <w:unhideWhenUsed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2"/>
    <w:link w:val="a8"/>
    <w:uiPriority w:val="99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0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0"/>
    <w:link w:val="22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Pr>
      <w:rFonts w:ascii="Tahoma" w:eastAsia="Calibri" w:hAnsi="Tahoma" w:cs="Tahoma"/>
      <w:sz w:val="16"/>
      <w:szCs w:val="16"/>
    </w:rPr>
  </w:style>
  <w:style w:type="paragraph" w:styleId="ac">
    <w:name w:val="caption"/>
    <w:basedOn w:val="a0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d">
    <w:name w:val="Знак Знак Знак 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">
    <w:name w:val="Название Знак"/>
    <w:basedOn w:val="a2"/>
    <w:link w:val="ae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0"/>
    <w:link w:val="33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0">
    <w:name w:val="List Paragraph"/>
    <w:basedOn w:val="a0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unhideWhenUsed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rPr>
      <w:sz w:val="20"/>
      <w:szCs w:val="20"/>
      <w:lang w:val="x-none"/>
    </w:rPr>
  </w:style>
  <w:style w:type="character" w:customStyle="1" w:styleId="af3">
    <w:name w:val="Текст примечания Знак"/>
    <w:basedOn w:val="a2"/>
    <w:link w:val="af2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4">
    <w:name w:val="annotation subject"/>
    <w:basedOn w:val="af2"/>
    <w:next w:val="af2"/>
    <w:link w:val="af5"/>
    <w:uiPriority w:val="99"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0"/>
    <w:uiPriority w:val="99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6">
    <w:name w:val="Strong"/>
    <w:uiPriority w:val="99"/>
    <w:qFormat/>
    <w:rPr>
      <w:b/>
      <w:bCs/>
    </w:rPr>
  </w:style>
  <w:style w:type="paragraph" w:styleId="af7">
    <w:name w:val="Normal (Web)"/>
    <w:basedOn w:val="a0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0"/>
    <w:link w:val="af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2"/>
    <w:link w:val="af8"/>
    <w:rPr>
      <w:rFonts w:ascii="Calibri" w:eastAsia="Calibri" w:hAnsi="Calibri" w:cs="Times New Roman"/>
      <w:lang w:val="x-none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2"/>
    <w:link w:val="afa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d">
    <w:name w:val="ЭАА"/>
    <w:basedOn w:val="1"/>
    <w:link w:val="afe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e">
    <w:name w:val="ЭАА Знак"/>
    <w:link w:val="afd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">
    <w:name w:val="footnote text"/>
    <w:basedOn w:val="a0"/>
    <w:link w:val="aff0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0">
    <w:name w:val="Текст сноски Знак"/>
    <w:basedOn w:val="a2"/>
    <w:link w:val="aff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1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2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basedOn w:val="a2"/>
    <w:uiPriority w:val="99"/>
    <w:semiHidden/>
    <w:rPr>
      <w:color w:val="808080"/>
    </w:rPr>
  </w:style>
  <w:style w:type="paragraph" w:customStyle="1" w:styleId="11">
    <w:name w:val="Абзац списка1"/>
    <w:basedOn w:val="a0"/>
    <w:uiPriority w:val="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2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2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</w:style>
  <w:style w:type="character" w:styleId="aff4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0"/>
    <w:next w:val="a0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0"/>
    <w:next w:val="a0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0"/>
    <w:next w:val="a0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5">
    <w:name w:val="Normal Indent"/>
    <w:basedOn w:val="a0"/>
    <w:uiPriority w:val="99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6">
    <w:name w:val="endnote text"/>
    <w:basedOn w:val="a0"/>
    <w:link w:val="aff7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8">
    <w:name w:val="List"/>
    <w:basedOn w:val="a0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9">
    <w:name w:val="List Bullet"/>
    <w:aliases w:val="UL,Indent 1"/>
    <w:basedOn w:val="a0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a">
    <w:name w:val="List Number"/>
    <w:basedOn w:val="a0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0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0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0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b">
    <w:name w:val="Subtitle"/>
    <w:basedOn w:val="a0"/>
    <w:link w:val="affc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c">
    <w:name w:val="Подзаголовок Знак"/>
    <w:basedOn w:val="a2"/>
    <w:link w:val="affb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0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2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0"/>
    <w:next w:val="a1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0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0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0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0"/>
    <w:next w:val="3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0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0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d">
    <w:name w:val="Список с маркерами"/>
    <w:basedOn w:val="a0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0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e">
    <w:name w:val="Простой"/>
    <w:basedOn w:val="a0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1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0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">
    <w:name w:val="page number"/>
    <w:uiPriority w:val="99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8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footnote reference"/>
    <w:uiPriority w:val="99"/>
    <w:semiHidden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1">
    <w:name w:val="Обычный текст"/>
    <w:basedOn w:val="a0"/>
    <w:link w:val="afff2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2">
    <w:name w:val="Обычный текст Знак"/>
    <w:link w:val="afff1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3">
    <w:name w:val="Пункт"/>
    <w:basedOn w:val="a0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3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.список.альт."/>
    <w:basedOn w:val="a0"/>
    <w:qFormat/>
    <w:pPr>
      <w:numPr>
        <w:numId w:val="2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0"/>
    <w:qFormat/>
    <w:pPr>
      <w:numPr>
        <w:numId w:val="3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3"/>
    <w:next w:val="aff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0"/>
    <w:uiPriority w:val="99"/>
    <w:pPr>
      <w:suppressAutoHyphens/>
      <w:ind w:left="720"/>
    </w:pPr>
    <w:rPr>
      <w:lang w:eastAsia="ar-SA"/>
    </w:rPr>
  </w:style>
  <w:style w:type="paragraph" w:customStyle="1" w:styleId="afff4">
    <w:name w:val="Пункт_нормативн_документа"/>
    <w:basedOn w:val="a1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0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2">
    <w:name w:val="Абзац списка5"/>
    <w:basedOn w:val="a0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4"/>
      </w:numPr>
    </w:pPr>
  </w:style>
  <w:style w:type="paragraph" w:customStyle="1" w:styleId="61">
    <w:name w:val="Абзац списка6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0"/>
    <w:next w:val="a0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0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cid:image010.png@01D44608.6F523C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34A4E-A2E8-4F3A-9CE9-96F34A27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Лонщакова Ольга Леонидовна</dc:creator>
  <cp:keywords/>
  <dc:description/>
  <cp:lastModifiedBy>Дарья Санне</cp:lastModifiedBy>
  <cp:revision>7</cp:revision>
  <cp:lastPrinted>2019-02-20T13:00:00Z</cp:lastPrinted>
  <dcterms:created xsi:type="dcterms:W3CDTF">2019-02-20T12:47:00Z</dcterms:created>
  <dcterms:modified xsi:type="dcterms:W3CDTF">2019-02-22T15:47:00Z</dcterms:modified>
</cp:coreProperties>
</file>