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1A3A" w:rsidRPr="00AA1A3A" w:rsidRDefault="00AA1A3A" w:rsidP="00AA1A3A">
      <w:pPr>
        <w:ind w:left="57"/>
        <w:contextualSpacing/>
        <w:jc w:val="right"/>
        <w:rPr>
          <w:rFonts w:ascii="Times New Roman" w:hAnsi="Times New Roman"/>
          <w:lang w:eastAsia="ru-RU"/>
        </w:rPr>
      </w:pPr>
      <w:r w:rsidRPr="00AA1A3A">
        <w:rPr>
          <w:rFonts w:ascii="Times New Roman" w:hAnsi="Times New Roman"/>
          <w:caps/>
        </w:rPr>
        <w:t>Приложение</w:t>
      </w:r>
      <w:r w:rsidRPr="00AA1A3A">
        <w:rPr>
          <w:rFonts w:ascii="Times New Roman" w:hAnsi="Times New Roman"/>
        </w:rPr>
        <w:t xml:space="preserve"> № 9</w:t>
      </w:r>
    </w:p>
    <w:p w:rsidR="00AA1A3A" w:rsidRPr="00AA1A3A" w:rsidRDefault="00AA1A3A" w:rsidP="00AA1A3A">
      <w:pPr>
        <w:ind w:left="57"/>
        <w:contextualSpacing/>
        <w:jc w:val="right"/>
        <w:rPr>
          <w:rFonts w:ascii="Times New Roman" w:hAnsi="Times New Roman"/>
        </w:rPr>
      </w:pPr>
      <w:r w:rsidRPr="00AA1A3A">
        <w:rPr>
          <w:rFonts w:ascii="Times New Roman" w:hAnsi="Times New Roman"/>
        </w:rPr>
        <w:t>к Протоколу № 4-</w:t>
      </w:r>
      <w:r w:rsidRPr="00AA1A3A">
        <w:rPr>
          <w:rFonts w:ascii="Times New Roman" w:hAnsi="Times New Roman"/>
          <w:lang w:val="en-US"/>
        </w:rPr>
        <w:t>II</w:t>
      </w:r>
      <w:r w:rsidRPr="00AA1A3A">
        <w:rPr>
          <w:rFonts w:ascii="Times New Roman" w:hAnsi="Times New Roman"/>
        </w:rPr>
        <w:t>/2019 заседания Наблюдательного совета</w:t>
      </w:r>
    </w:p>
    <w:p w:rsidR="00AA1A3A" w:rsidRPr="00AA1A3A" w:rsidRDefault="00AA1A3A" w:rsidP="00AA1A3A">
      <w:pPr>
        <w:widowControl w:val="0"/>
        <w:spacing w:after="0" w:line="240" w:lineRule="auto"/>
        <w:jc w:val="right"/>
        <w:rPr>
          <w:rFonts w:ascii="Times New Roman" w:hAnsi="Times New Roman"/>
        </w:rPr>
      </w:pPr>
      <w:r w:rsidRPr="00AA1A3A">
        <w:rPr>
          <w:rFonts w:ascii="Times New Roman" w:hAnsi="Times New Roman"/>
        </w:rPr>
        <w:t>Ассоциации «НП Совет рынка» от 25 февраля 2019 года</w:t>
      </w:r>
    </w:p>
    <w:p w:rsidR="00AA1A3A" w:rsidRDefault="00AA1A3A" w:rsidP="00583AD9">
      <w:pPr>
        <w:spacing w:after="0" w:line="240" w:lineRule="auto"/>
        <w:rPr>
          <w:rFonts w:ascii="Garamond" w:hAnsi="Garamond"/>
          <w:b/>
          <w:sz w:val="28"/>
          <w:szCs w:val="28"/>
        </w:rPr>
      </w:pPr>
    </w:p>
    <w:p w:rsidR="006B1E8A" w:rsidRPr="00D22830" w:rsidRDefault="006B1E8A" w:rsidP="00583AD9">
      <w:pPr>
        <w:spacing w:after="0" w:line="240" w:lineRule="auto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  <w:lang w:val="en-US"/>
        </w:rPr>
        <w:t>V</w:t>
      </w:r>
      <w:r w:rsidRPr="00414284">
        <w:rPr>
          <w:rFonts w:ascii="Garamond" w:hAnsi="Garamond"/>
          <w:b/>
          <w:sz w:val="28"/>
          <w:szCs w:val="28"/>
        </w:rPr>
        <w:t>.8</w:t>
      </w:r>
      <w:r>
        <w:rPr>
          <w:rFonts w:ascii="Garamond" w:hAnsi="Garamond"/>
          <w:b/>
          <w:sz w:val="28"/>
          <w:szCs w:val="28"/>
        </w:rPr>
        <w:t>.</w:t>
      </w:r>
      <w:r w:rsidRPr="00414284">
        <w:rPr>
          <w:rFonts w:ascii="Garamond" w:hAnsi="Garamond"/>
          <w:b/>
          <w:sz w:val="28"/>
          <w:szCs w:val="28"/>
        </w:rPr>
        <w:t xml:space="preserve"> </w:t>
      </w:r>
      <w:r w:rsidRPr="00D22830">
        <w:rPr>
          <w:rFonts w:ascii="Garamond" w:hAnsi="Garamond"/>
          <w:b/>
          <w:sz w:val="28"/>
          <w:szCs w:val="28"/>
        </w:rPr>
        <w:t>Изменения, связанные с уточнением требований при проведении процедуры проверки и регистрации ПСИ</w:t>
      </w:r>
    </w:p>
    <w:p w:rsidR="006B1E8A" w:rsidRPr="008C2CCC" w:rsidRDefault="006B1E8A" w:rsidP="00583AD9">
      <w:pPr>
        <w:widowControl w:val="0"/>
        <w:spacing w:after="0" w:line="240" w:lineRule="auto"/>
        <w:jc w:val="right"/>
        <w:rPr>
          <w:rFonts w:ascii="Garamond" w:hAnsi="Garamond"/>
          <w:b/>
          <w:sz w:val="28"/>
          <w:szCs w:val="28"/>
        </w:rPr>
      </w:pPr>
      <w:bookmarkStart w:id="0" w:name="_GoBack"/>
      <w:bookmarkEnd w:id="0"/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992"/>
      </w:tblGrid>
      <w:tr w:rsidR="006B1E8A" w:rsidRPr="008E1B99" w:rsidTr="003E0365">
        <w:trPr>
          <w:trHeight w:val="928"/>
        </w:trPr>
        <w:tc>
          <w:tcPr>
            <w:tcW w:w="14992" w:type="dxa"/>
          </w:tcPr>
          <w:p w:rsidR="006B1E8A" w:rsidRPr="008E1B99" w:rsidRDefault="006B1E8A" w:rsidP="00583AD9">
            <w:pPr>
              <w:widowControl w:val="0"/>
              <w:tabs>
                <w:tab w:val="left" w:pos="0"/>
                <w:tab w:val="left" w:pos="3420"/>
              </w:tabs>
              <w:spacing w:after="0" w:line="240" w:lineRule="auto"/>
              <w:jc w:val="both"/>
              <w:rPr>
                <w:rFonts w:ascii="Garamond" w:hAnsi="Garamond"/>
                <w:sz w:val="24"/>
                <w:szCs w:val="24"/>
              </w:rPr>
            </w:pPr>
            <w:r w:rsidRPr="008E1B99">
              <w:rPr>
                <w:rFonts w:ascii="Garamond" w:hAnsi="Garamond"/>
                <w:b/>
                <w:sz w:val="24"/>
                <w:szCs w:val="24"/>
              </w:rPr>
              <w:t xml:space="preserve">Инициатор: </w:t>
            </w:r>
            <w:r w:rsidRPr="008E1B99">
              <w:rPr>
                <w:rFonts w:ascii="Garamond" w:hAnsi="Garamond"/>
                <w:sz w:val="24"/>
                <w:szCs w:val="24"/>
              </w:rPr>
              <w:t>член Наблюдательного совета Ассоциации «НП Совет рынка» А.А. Хвалько.</w:t>
            </w:r>
          </w:p>
          <w:p w:rsidR="006B1E8A" w:rsidRPr="008E1B99" w:rsidRDefault="006B1E8A" w:rsidP="00583AD9">
            <w:pPr>
              <w:widowControl w:val="0"/>
              <w:tabs>
                <w:tab w:val="left" w:pos="0"/>
                <w:tab w:val="left" w:pos="3420"/>
              </w:tabs>
              <w:spacing w:after="0" w:line="240" w:lineRule="auto"/>
              <w:jc w:val="both"/>
              <w:rPr>
                <w:rFonts w:ascii="Garamond" w:hAnsi="Garamond"/>
                <w:sz w:val="24"/>
                <w:szCs w:val="24"/>
              </w:rPr>
            </w:pPr>
            <w:r w:rsidRPr="008E1B99">
              <w:rPr>
                <w:rFonts w:ascii="Garamond" w:hAnsi="Garamond"/>
                <w:b/>
                <w:sz w:val="24"/>
                <w:szCs w:val="24"/>
              </w:rPr>
              <w:t xml:space="preserve">Обоснование: </w:t>
            </w:r>
            <w:r w:rsidRPr="008E1B99">
              <w:rPr>
                <w:rFonts w:ascii="Garamond" w:hAnsi="Garamond"/>
                <w:sz w:val="24"/>
                <w:szCs w:val="24"/>
              </w:rPr>
              <w:t>в настоящее время процедура регистрации ПСИ прекращается при получении от АО «АТС» отрицательных результатов проверки ПСИ на соответствие требованиям Порядка оформления, согласования и регистрации Алгоритма по внутреннему сечению коммерческого учета и Регламента коммерческого учета электроэнергии и мощности (Приложение № 11 к Договору о присоединении к торговой системе оптового рынка) в случае присутствия в результатах расчета величины учетного показателя часовых величин, превышающих величину установленной мощности в ГТП генерации инициатора.</w:t>
            </w:r>
          </w:p>
          <w:p w:rsidR="006B1E8A" w:rsidRPr="008E1B99" w:rsidRDefault="006B1E8A" w:rsidP="00583AD9">
            <w:pPr>
              <w:spacing w:after="0" w:line="240" w:lineRule="auto"/>
              <w:jc w:val="both"/>
              <w:rPr>
                <w:rFonts w:ascii="Garamond" w:hAnsi="Garamond"/>
                <w:sz w:val="24"/>
                <w:szCs w:val="24"/>
              </w:rPr>
            </w:pPr>
            <w:r w:rsidRPr="008E1B99">
              <w:rPr>
                <w:rFonts w:ascii="Garamond" w:hAnsi="Garamond"/>
                <w:sz w:val="24"/>
                <w:szCs w:val="24"/>
              </w:rPr>
              <w:t>Однако, в соответствии с паспортными технологическими характеристиками, максимальная мощность генерирующего оборудования может быть выше установленной мощности и, как следствие, фактическая мощность может превышать установленную. Таким образом</w:t>
            </w:r>
            <w:r>
              <w:rPr>
                <w:rFonts w:ascii="Garamond" w:hAnsi="Garamond"/>
                <w:sz w:val="24"/>
                <w:szCs w:val="24"/>
              </w:rPr>
              <w:t>,</w:t>
            </w:r>
            <w:r w:rsidRPr="008E1B99">
              <w:rPr>
                <w:rFonts w:ascii="Garamond" w:hAnsi="Garamond"/>
                <w:sz w:val="24"/>
                <w:szCs w:val="24"/>
              </w:rPr>
              <w:t xml:space="preserve"> результат расчета величины учетного показателя часовых величин также может быть выше величины установленной мощности в ГТП генерации.</w:t>
            </w:r>
          </w:p>
          <w:p w:rsidR="006B1E8A" w:rsidRPr="008E1B99" w:rsidRDefault="006B1E8A" w:rsidP="00583AD9">
            <w:pPr>
              <w:spacing w:after="0" w:line="240" w:lineRule="auto"/>
              <w:jc w:val="both"/>
              <w:rPr>
                <w:rFonts w:ascii="Garamond" w:hAnsi="Garamond"/>
                <w:sz w:val="24"/>
                <w:szCs w:val="24"/>
              </w:rPr>
            </w:pPr>
            <w:r w:rsidRPr="008E1B99">
              <w:rPr>
                <w:rFonts w:ascii="Garamond" w:hAnsi="Garamond"/>
                <w:sz w:val="24"/>
                <w:szCs w:val="24"/>
              </w:rPr>
              <w:t>Кроме того, согласно п. 5.3 ГОСТ 3618-2016 «Турбины паровые стационарные для привода турбогенераторов. Типы и основные размеры» и                   п. 5.5 ГОСТ 24278-2016 «Установки турбинные паровые стационарные для привода электрических генераторов ТЭС. Общие технические требования», допускается отклонение фактической мощности от номинальной мощности от  -5</w:t>
            </w:r>
            <w:r>
              <w:rPr>
                <w:rFonts w:ascii="Garamond" w:hAnsi="Garamond"/>
                <w:sz w:val="24"/>
                <w:szCs w:val="24"/>
              </w:rPr>
              <w:t> </w:t>
            </w:r>
            <w:r w:rsidRPr="008E1B99">
              <w:rPr>
                <w:rFonts w:ascii="Garamond" w:hAnsi="Garamond"/>
                <w:sz w:val="24"/>
                <w:szCs w:val="24"/>
              </w:rPr>
              <w:t>% до +10</w:t>
            </w:r>
            <w:r>
              <w:rPr>
                <w:rFonts w:ascii="Garamond" w:hAnsi="Garamond"/>
                <w:sz w:val="24"/>
                <w:szCs w:val="24"/>
              </w:rPr>
              <w:t> </w:t>
            </w:r>
            <w:r w:rsidRPr="008E1B99">
              <w:rPr>
                <w:rFonts w:ascii="Garamond" w:hAnsi="Garamond"/>
                <w:sz w:val="24"/>
                <w:szCs w:val="24"/>
              </w:rPr>
              <w:t>%.</w:t>
            </w:r>
            <w:r>
              <w:rPr>
                <w:rFonts w:ascii="Garamond" w:hAnsi="Garamond"/>
                <w:sz w:val="24"/>
                <w:szCs w:val="24"/>
              </w:rPr>
              <w:t xml:space="preserve"> </w:t>
            </w:r>
            <w:r w:rsidRPr="008E1B99">
              <w:rPr>
                <w:rFonts w:ascii="Garamond" w:hAnsi="Garamond"/>
                <w:sz w:val="24"/>
                <w:szCs w:val="24"/>
              </w:rPr>
              <w:t>При этом, согласно таблице 1 п. 5.1 ГОСТ 24278-2016, для турбин ПТ-12/15-35/10 допускается отклонение максимальной мощности от номинальной мощности на +</w:t>
            </w:r>
            <w:r w:rsidR="00E24E41">
              <w:rPr>
                <w:rFonts w:ascii="Garamond" w:hAnsi="Garamond"/>
                <w:sz w:val="24"/>
                <w:szCs w:val="24"/>
              </w:rPr>
              <w:t>1</w:t>
            </w:r>
            <w:r w:rsidRPr="008E1B99">
              <w:rPr>
                <w:rFonts w:ascii="Garamond" w:hAnsi="Garamond"/>
                <w:sz w:val="24"/>
                <w:szCs w:val="24"/>
              </w:rPr>
              <w:t>5</w:t>
            </w:r>
            <w:r>
              <w:rPr>
                <w:rFonts w:ascii="Garamond" w:hAnsi="Garamond"/>
                <w:sz w:val="24"/>
                <w:szCs w:val="24"/>
              </w:rPr>
              <w:t> </w:t>
            </w:r>
            <w:r w:rsidRPr="008E1B99">
              <w:rPr>
                <w:rFonts w:ascii="Garamond" w:hAnsi="Garamond"/>
                <w:sz w:val="24"/>
                <w:szCs w:val="24"/>
              </w:rPr>
              <w:t xml:space="preserve">%. </w:t>
            </w:r>
          </w:p>
          <w:p w:rsidR="006B1E8A" w:rsidRPr="008E1B99" w:rsidRDefault="006B1E8A" w:rsidP="00583AD9">
            <w:pPr>
              <w:widowControl w:val="0"/>
              <w:tabs>
                <w:tab w:val="left" w:pos="0"/>
                <w:tab w:val="left" w:pos="3420"/>
              </w:tabs>
              <w:spacing w:after="0" w:line="240" w:lineRule="auto"/>
              <w:jc w:val="both"/>
              <w:rPr>
                <w:rFonts w:ascii="Garamond" w:hAnsi="Garamond"/>
                <w:b/>
                <w:sz w:val="24"/>
                <w:szCs w:val="24"/>
              </w:rPr>
            </w:pPr>
            <w:r w:rsidRPr="008E1B99">
              <w:rPr>
                <w:rFonts w:ascii="Garamond" w:hAnsi="Garamond"/>
                <w:sz w:val="24"/>
                <w:szCs w:val="24"/>
              </w:rPr>
              <w:t>Предлагается внести изменения в Положение о порядке получения статуса субъекта оптового рынка и ведения реестра субъектов оптового рынка (</w:t>
            </w:r>
            <w:r>
              <w:rPr>
                <w:rFonts w:ascii="Garamond" w:hAnsi="Garamond"/>
                <w:sz w:val="24"/>
                <w:szCs w:val="24"/>
              </w:rPr>
              <w:t>П</w:t>
            </w:r>
            <w:r w:rsidRPr="008E1B99">
              <w:rPr>
                <w:rFonts w:ascii="Garamond" w:hAnsi="Garamond"/>
                <w:sz w:val="24"/>
                <w:szCs w:val="24"/>
              </w:rPr>
              <w:t xml:space="preserve">риложение № 1.1 к Договору о присоединении к торговой системе оптового рынка) в части уточнения требований, допускающих присутствие в результатах расчета величины учетного показателя часовых величин, не превышающих более чем на </w:t>
            </w:r>
            <w:r w:rsidR="00E24E41">
              <w:rPr>
                <w:rFonts w:ascii="Garamond" w:hAnsi="Garamond"/>
                <w:sz w:val="24"/>
                <w:szCs w:val="24"/>
              </w:rPr>
              <w:t>1</w:t>
            </w:r>
            <w:r w:rsidRPr="008E1B99">
              <w:rPr>
                <w:rFonts w:ascii="Garamond" w:hAnsi="Garamond"/>
                <w:sz w:val="24"/>
                <w:szCs w:val="24"/>
              </w:rPr>
              <w:t>5</w:t>
            </w:r>
            <w:r>
              <w:rPr>
                <w:rFonts w:ascii="Garamond" w:hAnsi="Garamond"/>
                <w:sz w:val="24"/>
                <w:szCs w:val="24"/>
              </w:rPr>
              <w:t> </w:t>
            </w:r>
            <w:r w:rsidRPr="008E1B99">
              <w:rPr>
                <w:rFonts w:ascii="Garamond" w:hAnsi="Garamond"/>
                <w:sz w:val="24"/>
                <w:szCs w:val="24"/>
              </w:rPr>
              <w:t>% величину установленной мощности в ГТП генерации инициатора.</w:t>
            </w:r>
          </w:p>
          <w:p w:rsidR="006B1E8A" w:rsidRPr="008E1B99" w:rsidRDefault="006B1E8A" w:rsidP="00583AD9">
            <w:pPr>
              <w:widowControl w:val="0"/>
              <w:tabs>
                <w:tab w:val="left" w:pos="0"/>
                <w:tab w:val="left" w:pos="3420"/>
              </w:tabs>
              <w:spacing w:after="0" w:line="240" w:lineRule="auto"/>
              <w:jc w:val="both"/>
              <w:rPr>
                <w:rFonts w:ascii="Garamond" w:hAnsi="Garamond"/>
                <w:sz w:val="24"/>
                <w:szCs w:val="24"/>
              </w:rPr>
            </w:pPr>
            <w:r w:rsidRPr="008E1B99">
              <w:rPr>
                <w:rFonts w:ascii="Garamond" w:hAnsi="Garamond"/>
                <w:b/>
                <w:sz w:val="24"/>
                <w:szCs w:val="24"/>
              </w:rPr>
              <w:t xml:space="preserve">Дата вступления в силу: </w:t>
            </w:r>
            <w:r w:rsidRPr="008E1B99">
              <w:rPr>
                <w:rFonts w:ascii="Garamond" w:hAnsi="Garamond"/>
                <w:sz w:val="24"/>
                <w:szCs w:val="24"/>
              </w:rPr>
              <w:t>1 марта 2019 года и действуют по 30 июня 2019 года (включительно).</w:t>
            </w:r>
          </w:p>
        </w:tc>
      </w:tr>
    </w:tbl>
    <w:p w:rsidR="006B1E8A" w:rsidRPr="00343386" w:rsidRDefault="006B1E8A" w:rsidP="00583AD9">
      <w:pPr>
        <w:spacing w:after="0" w:line="240" w:lineRule="auto"/>
      </w:pPr>
      <w:bookmarkStart w:id="1" w:name="_Toc101261834"/>
      <w:bookmarkStart w:id="2" w:name="_Toc101672096"/>
      <w:bookmarkStart w:id="3" w:name="_Toc103055809"/>
      <w:bookmarkStart w:id="4" w:name="_Toc105228112"/>
      <w:bookmarkStart w:id="5" w:name="_Toc107045995"/>
    </w:p>
    <w:bookmarkEnd w:id="1"/>
    <w:bookmarkEnd w:id="2"/>
    <w:bookmarkEnd w:id="3"/>
    <w:bookmarkEnd w:id="4"/>
    <w:bookmarkEnd w:id="5"/>
    <w:p w:rsidR="006B1E8A" w:rsidRDefault="006B1E8A" w:rsidP="00583AD9">
      <w:pPr>
        <w:widowControl w:val="0"/>
        <w:numPr>
          <w:ilvl w:val="1"/>
          <w:numId w:val="0"/>
        </w:numPr>
        <w:spacing w:after="0" w:line="240" w:lineRule="auto"/>
        <w:outlineLvl w:val="1"/>
        <w:rPr>
          <w:rFonts w:ascii="Garamond" w:eastAsia="Batang" w:hAnsi="Garamond"/>
          <w:b/>
          <w:bCs/>
          <w:sz w:val="26"/>
          <w:szCs w:val="26"/>
        </w:rPr>
      </w:pPr>
      <w:r w:rsidRPr="00E27BB2">
        <w:rPr>
          <w:rFonts w:ascii="Garamond" w:eastAsia="Batang" w:hAnsi="Garamond"/>
          <w:b/>
          <w:bCs/>
          <w:sz w:val="26"/>
          <w:szCs w:val="26"/>
        </w:rPr>
        <w:t>Предложения по изменениям и дополнениям в</w:t>
      </w:r>
      <w:r w:rsidRPr="00E27BB2">
        <w:rPr>
          <w:rFonts w:ascii="Garamond" w:hAnsi="Garamond"/>
          <w:b/>
          <w:sz w:val="26"/>
          <w:szCs w:val="26"/>
        </w:rPr>
        <w:t xml:space="preserve"> </w:t>
      </w:r>
      <w:r w:rsidRPr="00E27BB2">
        <w:rPr>
          <w:rFonts w:ascii="Garamond" w:hAnsi="Garamond"/>
          <w:b/>
          <w:bCs/>
          <w:sz w:val="26"/>
          <w:szCs w:val="26"/>
        </w:rPr>
        <w:t>ПОЛОЖЕНИ</w:t>
      </w:r>
      <w:r>
        <w:rPr>
          <w:rFonts w:ascii="Garamond" w:hAnsi="Garamond"/>
          <w:b/>
          <w:bCs/>
          <w:sz w:val="26"/>
          <w:szCs w:val="26"/>
        </w:rPr>
        <w:t>Е</w:t>
      </w:r>
      <w:r w:rsidRPr="00E27BB2">
        <w:rPr>
          <w:rFonts w:ascii="Garamond" w:hAnsi="Garamond"/>
          <w:b/>
          <w:bCs/>
          <w:sz w:val="26"/>
          <w:szCs w:val="26"/>
        </w:rPr>
        <w:t xml:space="preserve"> О ПОРЯДКЕ ПОЛУЧЕНИЯ СТАТУСА СУБЪЕКТА ОПТОВОГО РЫНКА </w:t>
      </w:r>
      <w:r w:rsidRPr="00E27BB2">
        <w:rPr>
          <w:rFonts w:ascii="Garamond" w:hAnsi="Garamond"/>
          <w:b/>
          <w:sz w:val="26"/>
          <w:szCs w:val="26"/>
        </w:rPr>
        <w:t>И</w:t>
      </w:r>
      <w:r>
        <w:rPr>
          <w:rFonts w:ascii="Garamond" w:hAnsi="Garamond"/>
          <w:b/>
          <w:sz w:val="26"/>
          <w:szCs w:val="26"/>
        </w:rPr>
        <w:t xml:space="preserve"> </w:t>
      </w:r>
      <w:r w:rsidRPr="00E27BB2">
        <w:rPr>
          <w:rFonts w:ascii="Garamond" w:hAnsi="Garamond"/>
          <w:b/>
          <w:sz w:val="26"/>
          <w:szCs w:val="26"/>
        </w:rPr>
        <w:t>ВЕДЕНИЯ РЕЕСТРА СУБЪЕКТОВ ОПТОВОГО РЫНКА</w:t>
      </w:r>
      <w:r w:rsidRPr="00417552">
        <w:rPr>
          <w:rFonts w:ascii="Garamond" w:hAnsi="Garamond"/>
          <w:b/>
          <w:sz w:val="26"/>
          <w:szCs w:val="26"/>
        </w:rPr>
        <w:t xml:space="preserve"> </w:t>
      </w:r>
      <w:r>
        <w:rPr>
          <w:rFonts w:ascii="Garamond" w:hAnsi="Garamond"/>
          <w:b/>
          <w:sz w:val="26"/>
          <w:szCs w:val="26"/>
        </w:rPr>
        <w:t>(</w:t>
      </w:r>
      <w:r w:rsidRPr="00417552">
        <w:rPr>
          <w:rFonts w:ascii="Garamond" w:hAnsi="Garamond"/>
          <w:b/>
          <w:sz w:val="26"/>
          <w:szCs w:val="26"/>
        </w:rPr>
        <w:t>Приложение № 1.1</w:t>
      </w:r>
      <w:r>
        <w:rPr>
          <w:rFonts w:ascii="Garamond" w:hAnsi="Garamond"/>
          <w:b/>
          <w:sz w:val="26"/>
          <w:szCs w:val="26"/>
        </w:rPr>
        <w:t xml:space="preserve"> </w:t>
      </w:r>
      <w:r w:rsidRPr="00417552">
        <w:rPr>
          <w:rFonts w:ascii="Garamond" w:hAnsi="Garamond"/>
          <w:b/>
          <w:sz w:val="26"/>
          <w:szCs w:val="26"/>
        </w:rPr>
        <w:t>к Договору о присоединении к торговой</w:t>
      </w:r>
      <w:r>
        <w:rPr>
          <w:rFonts w:ascii="Garamond" w:hAnsi="Garamond"/>
          <w:b/>
          <w:sz w:val="26"/>
          <w:szCs w:val="26"/>
        </w:rPr>
        <w:t xml:space="preserve"> </w:t>
      </w:r>
      <w:r w:rsidRPr="00417552">
        <w:rPr>
          <w:rFonts w:ascii="Garamond" w:hAnsi="Garamond"/>
          <w:b/>
          <w:sz w:val="26"/>
          <w:szCs w:val="26"/>
        </w:rPr>
        <w:t>системе оптового рынка</w:t>
      </w:r>
      <w:r>
        <w:rPr>
          <w:rFonts w:ascii="Garamond" w:eastAsia="Batang" w:hAnsi="Garamond"/>
          <w:b/>
          <w:bCs/>
          <w:sz w:val="26"/>
          <w:szCs w:val="26"/>
        </w:rPr>
        <w:t>)</w:t>
      </w:r>
    </w:p>
    <w:p w:rsidR="006B1E8A" w:rsidRPr="00417552" w:rsidRDefault="006B1E8A" w:rsidP="00583AD9">
      <w:pPr>
        <w:widowControl w:val="0"/>
        <w:numPr>
          <w:ilvl w:val="1"/>
          <w:numId w:val="0"/>
        </w:numPr>
        <w:spacing w:after="0" w:line="240" w:lineRule="auto"/>
        <w:jc w:val="both"/>
        <w:outlineLvl w:val="1"/>
        <w:rPr>
          <w:rFonts w:ascii="Garamond" w:hAnsi="Garamond"/>
          <w:b/>
          <w:sz w:val="26"/>
          <w:szCs w:val="26"/>
        </w:rPr>
      </w:pPr>
    </w:p>
    <w:tbl>
      <w:tblPr>
        <w:tblW w:w="1492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31"/>
        <w:gridCol w:w="6946"/>
        <w:gridCol w:w="6945"/>
      </w:tblGrid>
      <w:tr w:rsidR="006B1E8A" w:rsidRPr="008E1B99" w:rsidTr="003066B9">
        <w:tc>
          <w:tcPr>
            <w:tcW w:w="1031" w:type="dxa"/>
            <w:vAlign w:val="center"/>
          </w:tcPr>
          <w:p w:rsidR="006B1E8A" w:rsidRPr="008E1B99" w:rsidRDefault="006B1E8A" w:rsidP="00583AD9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8E1B99">
              <w:rPr>
                <w:rFonts w:ascii="Garamond" w:hAnsi="Garamond"/>
                <w:b/>
              </w:rPr>
              <w:t xml:space="preserve">№ </w:t>
            </w:r>
          </w:p>
          <w:p w:rsidR="006B1E8A" w:rsidRPr="008E1B99" w:rsidRDefault="006B1E8A" w:rsidP="00583AD9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8E1B99">
              <w:rPr>
                <w:rFonts w:ascii="Garamond" w:hAnsi="Garamond"/>
                <w:b/>
              </w:rPr>
              <w:t>пункта</w:t>
            </w:r>
          </w:p>
        </w:tc>
        <w:tc>
          <w:tcPr>
            <w:tcW w:w="6946" w:type="dxa"/>
          </w:tcPr>
          <w:p w:rsidR="006B1E8A" w:rsidRPr="008E1B99" w:rsidRDefault="006B1E8A" w:rsidP="00583AD9">
            <w:pPr>
              <w:widowControl w:val="0"/>
              <w:spacing w:after="0" w:line="240" w:lineRule="auto"/>
              <w:jc w:val="center"/>
              <w:rPr>
                <w:rFonts w:ascii="Garamond" w:hAnsi="Garamond" w:cs="Garamond"/>
                <w:b/>
                <w:bCs/>
              </w:rPr>
            </w:pPr>
            <w:r w:rsidRPr="008E1B99">
              <w:rPr>
                <w:rFonts w:ascii="Garamond" w:hAnsi="Garamond" w:cs="Garamond"/>
                <w:b/>
                <w:bCs/>
              </w:rPr>
              <w:t>Редакция, действующая на момент</w:t>
            </w:r>
          </w:p>
          <w:p w:rsidR="006B1E8A" w:rsidRPr="008E1B99" w:rsidRDefault="006B1E8A" w:rsidP="00583AD9">
            <w:pPr>
              <w:widowControl w:val="0"/>
              <w:tabs>
                <w:tab w:val="center" w:pos="3708"/>
                <w:tab w:val="left" w:pos="5298"/>
              </w:tabs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8E1B99">
              <w:rPr>
                <w:rFonts w:ascii="Garamond" w:hAnsi="Garamond" w:cs="Garamond"/>
                <w:b/>
                <w:bCs/>
              </w:rPr>
              <w:t>вступления в силу изменений</w:t>
            </w:r>
          </w:p>
        </w:tc>
        <w:tc>
          <w:tcPr>
            <w:tcW w:w="6945" w:type="dxa"/>
          </w:tcPr>
          <w:p w:rsidR="006B1E8A" w:rsidRPr="008E1B99" w:rsidRDefault="006B1E8A" w:rsidP="00583AD9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8E1B99">
              <w:rPr>
                <w:rFonts w:ascii="Garamond" w:hAnsi="Garamond"/>
                <w:b/>
              </w:rPr>
              <w:t>Предлагаемая редакция</w:t>
            </w:r>
          </w:p>
          <w:p w:rsidR="006B1E8A" w:rsidRPr="008E1B99" w:rsidRDefault="006B1E8A" w:rsidP="00583AD9">
            <w:pPr>
              <w:widowControl w:val="0"/>
              <w:spacing w:after="0" w:line="240" w:lineRule="auto"/>
              <w:jc w:val="center"/>
              <w:rPr>
                <w:rFonts w:ascii="Garamond" w:hAnsi="Garamond"/>
              </w:rPr>
            </w:pPr>
            <w:r w:rsidRPr="008E1B99">
              <w:rPr>
                <w:rFonts w:ascii="Garamond" w:hAnsi="Garamond"/>
              </w:rPr>
              <w:t>(изменения выделены цветом)</w:t>
            </w:r>
          </w:p>
        </w:tc>
      </w:tr>
      <w:tr w:rsidR="006B1E8A" w:rsidRPr="008E1B99" w:rsidTr="003066B9">
        <w:trPr>
          <w:trHeight w:val="457"/>
        </w:trPr>
        <w:tc>
          <w:tcPr>
            <w:tcW w:w="1031" w:type="dxa"/>
          </w:tcPr>
          <w:p w:rsidR="006B1E8A" w:rsidRPr="008E1B99" w:rsidRDefault="006B1E8A" w:rsidP="003E0365">
            <w:pPr>
              <w:widowControl w:val="0"/>
              <w:spacing w:before="120" w:after="120"/>
              <w:jc w:val="center"/>
              <w:rPr>
                <w:rFonts w:ascii="Garamond" w:hAnsi="Garamond"/>
                <w:b/>
              </w:rPr>
            </w:pPr>
            <w:r w:rsidRPr="008E1B99">
              <w:rPr>
                <w:rFonts w:ascii="Garamond" w:hAnsi="Garamond"/>
                <w:b/>
              </w:rPr>
              <w:t>2.6</w:t>
            </w:r>
          </w:p>
        </w:tc>
        <w:tc>
          <w:tcPr>
            <w:tcW w:w="6946" w:type="dxa"/>
          </w:tcPr>
          <w:p w:rsidR="006B1E8A" w:rsidRPr="008E1B99" w:rsidRDefault="006B1E8A" w:rsidP="00583AD9">
            <w:pPr>
              <w:spacing w:before="120" w:after="120"/>
              <w:ind w:firstLine="540"/>
              <w:jc w:val="both"/>
              <w:rPr>
                <w:rFonts w:ascii="Garamond" w:hAnsi="Garamond"/>
              </w:rPr>
            </w:pPr>
            <w:r w:rsidRPr="008E1B99">
              <w:rPr>
                <w:rFonts w:ascii="Garamond" w:hAnsi="Garamond"/>
              </w:rPr>
              <w:br w:type="page"/>
              <w:t xml:space="preserve">2.6. Процедура регистрации ПСИ в макете 60090 / Алгоритма по внутреннему сечению коммерческого учета прекращается при получении отрицательных результатов проверки ПСИ / Алгоритма по внутреннему сечению коммерческого учета на соответствие требованиям настоящего </w:t>
            </w:r>
            <w:r w:rsidRPr="008E1B99">
              <w:rPr>
                <w:rFonts w:ascii="Garamond" w:hAnsi="Garamond"/>
              </w:rPr>
              <w:lastRenderedPageBreak/>
              <w:t>Порядка и Регламента коммерческого учета электроэнергии и мощности (Приложение № 11 к Договору о присоединении к торговой системе оптового рынка) и (или) при наступлении одного из следующих событий:</w:t>
            </w:r>
          </w:p>
          <w:p w:rsidR="006B1E8A" w:rsidRPr="008E1B99" w:rsidRDefault="006B1E8A" w:rsidP="00583AD9">
            <w:pPr>
              <w:ind w:firstLine="567"/>
              <w:jc w:val="both"/>
              <w:rPr>
                <w:rFonts w:ascii="Garamond" w:hAnsi="Garamond"/>
              </w:rPr>
            </w:pPr>
            <w:bookmarkStart w:id="6" w:name="_Toc473814726"/>
            <w:r w:rsidRPr="008E1B99">
              <w:rPr>
                <w:rFonts w:ascii="Garamond" w:hAnsi="Garamond"/>
              </w:rPr>
              <w:t>– отсутствие непрерывной передачи результатов измерений в течение 10 (десяти) календарных дней со статусом «коммерческая информация» для целей выполнения требований, необходимых в соответствии с п. 2.4.1 настоящего Порядка, в течение 30 (тридцати) календарных дней с даты направления заявления в КО;</w:t>
            </w:r>
            <w:bookmarkEnd w:id="6"/>
            <w:r w:rsidRPr="008E1B99">
              <w:rPr>
                <w:rFonts w:ascii="Garamond" w:hAnsi="Garamond"/>
              </w:rPr>
              <w:t xml:space="preserve"> </w:t>
            </w:r>
          </w:p>
          <w:p w:rsidR="006B1E8A" w:rsidRPr="008E1B99" w:rsidRDefault="006B1E8A" w:rsidP="00583AD9">
            <w:pPr>
              <w:ind w:firstLine="567"/>
              <w:jc w:val="both"/>
              <w:rPr>
                <w:rFonts w:ascii="Garamond" w:hAnsi="Garamond"/>
              </w:rPr>
            </w:pPr>
            <w:bookmarkStart w:id="7" w:name="_Toc473814727"/>
            <w:r w:rsidRPr="008E1B99">
              <w:rPr>
                <w:rFonts w:ascii="Garamond" w:hAnsi="Garamond"/>
              </w:rPr>
              <w:t>– отсутствие передачи макета 80030 для целей выполнения требований, необходимых в соответствии с п. 2.4.1 настоящего Порядка, в течение 30 (тридцати) календарных дней с даты направления заявления в КО (в случае использования в ПСИ / Алгоритме по внутреннему сечению коммерческого учета данных о состоянии объектов измерений);</w:t>
            </w:r>
            <w:bookmarkEnd w:id="7"/>
          </w:p>
          <w:p w:rsidR="006B1E8A" w:rsidRPr="008E1B99" w:rsidRDefault="006B1E8A" w:rsidP="00583AD9">
            <w:pPr>
              <w:ind w:firstLine="567"/>
              <w:jc w:val="both"/>
              <w:rPr>
                <w:rFonts w:ascii="Garamond" w:hAnsi="Garamond"/>
              </w:rPr>
            </w:pPr>
            <w:bookmarkStart w:id="8" w:name="_Toc473814728"/>
            <w:r w:rsidRPr="008E1B99">
              <w:rPr>
                <w:rFonts w:ascii="Garamond" w:hAnsi="Garamond"/>
              </w:rPr>
              <w:t>– отсутствие подтверждения результата расчета величины учетного показателя в течение 5 (пяти) рабочих дней с даты его направления инициатору в порядке, предусмотренном настоящим Порядком;</w:t>
            </w:r>
            <w:bookmarkEnd w:id="8"/>
            <w:r w:rsidRPr="008E1B99">
              <w:rPr>
                <w:rFonts w:ascii="Garamond" w:hAnsi="Garamond"/>
              </w:rPr>
              <w:t xml:space="preserve"> </w:t>
            </w:r>
          </w:p>
          <w:p w:rsidR="006B1E8A" w:rsidRPr="008E1B99" w:rsidRDefault="006B1E8A" w:rsidP="00583AD9">
            <w:pPr>
              <w:ind w:firstLine="567"/>
              <w:jc w:val="both"/>
              <w:rPr>
                <w:rFonts w:ascii="Garamond" w:hAnsi="Garamond"/>
              </w:rPr>
            </w:pPr>
            <w:bookmarkStart w:id="9" w:name="_Toc473814729"/>
            <w:r w:rsidRPr="008E1B99">
              <w:rPr>
                <w:rFonts w:ascii="Garamond" w:hAnsi="Garamond"/>
              </w:rPr>
              <w:t>– присутствие в результатах расчета величины учетного показателя часовых величин, превышающих величину установленной мощности в ГТП генерации инициатора;</w:t>
            </w:r>
            <w:bookmarkEnd w:id="9"/>
          </w:p>
          <w:p w:rsidR="006B1E8A" w:rsidRPr="008E1B99" w:rsidRDefault="006B1E8A" w:rsidP="00583AD9">
            <w:pPr>
              <w:ind w:firstLine="567"/>
              <w:jc w:val="both"/>
              <w:rPr>
                <w:rFonts w:ascii="Garamond" w:hAnsi="Garamond"/>
              </w:rPr>
            </w:pPr>
            <w:bookmarkStart w:id="10" w:name="_Toc473814730"/>
            <w:r w:rsidRPr="008E1B99">
              <w:rPr>
                <w:rFonts w:ascii="Garamond" w:hAnsi="Garamond"/>
              </w:rPr>
              <w:t>– наличие отрицательных часовых величин в ГТП потребления инициатора, при условии наличия в указанной ГТП только одного сечения коммерческого учета (за исключением ФСК и ГТП потребления, сальдо перетоков в которых согласно пп. 4.1, 4.2 приложения 4 к настоящему Положению могут быть отрицательными, а также за исключением сальдо перетоков, в которых отрицательные почасовые значения электроэнергии равны ±2 кВт∙ч × N, где N – число точек измерений активной энергии, используемых для расчета значений электроэнергии в точках поставки, включенных в указанное сечение коммерческого учета);</w:t>
            </w:r>
            <w:bookmarkEnd w:id="10"/>
          </w:p>
        </w:tc>
        <w:tc>
          <w:tcPr>
            <w:tcW w:w="6945" w:type="dxa"/>
          </w:tcPr>
          <w:p w:rsidR="006B1E8A" w:rsidRPr="008E1B99" w:rsidRDefault="006B1E8A" w:rsidP="00583AD9">
            <w:pPr>
              <w:spacing w:before="120" w:after="120"/>
              <w:ind w:firstLine="540"/>
              <w:jc w:val="both"/>
              <w:rPr>
                <w:rFonts w:ascii="Garamond" w:hAnsi="Garamond"/>
              </w:rPr>
            </w:pPr>
            <w:r w:rsidRPr="008E1B99">
              <w:rPr>
                <w:rFonts w:ascii="Garamond" w:hAnsi="Garamond"/>
              </w:rPr>
              <w:lastRenderedPageBreak/>
              <w:t xml:space="preserve">2.6. Процедура регистрации ПСИ в макете 60090 / Алгоритма по внутреннему сечению коммерческого учета прекращается при получении отрицательных результатов проверки ПСИ / Алгоритма по внутреннему сечению коммерческого учета на соответствие требованиям настоящего </w:t>
            </w:r>
            <w:r w:rsidRPr="008E1B99">
              <w:rPr>
                <w:rFonts w:ascii="Garamond" w:hAnsi="Garamond"/>
              </w:rPr>
              <w:lastRenderedPageBreak/>
              <w:t>Порядка и Регламента коммерческого учета электроэнергии и мощности (Приложение № 11 к Договору о присоединении к торговой системе оптового рынка) и (или) при наступлении одного из следующих событий:</w:t>
            </w:r>
          </w:p>
          <w:p w:rsidR="006B1E8A" w:rsidRPr="008E1B99" w:rsidRDefault="006B1E8A" w:rsidP="00583AD9">
            <w:pPr>
              <w:ind w:firstLine="567"/>
              <w:jc w:val="both"/>
              <w:rPr>
                <w:rFonts w:ascii="Garamond" w:hAnsi="Garamond"/>
              </w:rPr>
            </w:pPr>
            <w:r w:rsidRPr="008E1B99">
              <w:rPr>
                <w:rFonts w:ascii="Garamond" w:hAnsi="Garamond"/>
              </w:rPr>
              <w:t xml:space="preserve">– отсутствие непрерывной передачи результатов измерений в течение 10 (десяти) календарных дней со статусом «коммерческая информация» для целей выполнения требований, необходимых в соответствии с п. 2.4.1 настоящего Порядка, в течение 30 (тридцати) календарных дней с даты направления заявления в КО; </w:t>
            </w:r>
          </w:p>
          <w:p w:rsidR="006B1E8A" w:rsidRPr="008E1B99" w:rsidRDefault="006B1E8A" w:rsidP="00583AD9">
            <w:pPr>
              <w:ind w:firstLine="567"/>
              <w:jc w:val="both"/>
              <w:rPr>
                <w:rFonts w:ascii="Garamond" w:hAnsi="Garamond"/>
              </w:rPr>
            </w:pPr>
            <w:r w:rsidRPr="008E1B99">
              <w:rPr>
                <w:rFonts w:ascii="Garamond" w:hAnsi="Garamond"/>
              </w:rPr>
              <w:t>– отсутствие передачи макета 80030 для целей выполнения требований, необходимых в соответствии с п. 2.4.1 настоящего Порядка, в течение 30 (тридцати) календарных дней с даты направления заявления в КО (в случае использования в ПСИ / Алгоритме по внутреннему сечению коммерческого учета данных о состоянии объектов измерений);</w:t>
            </w:r>
          </w:p>
          <w:p w:rsidR="006B1E8A" w:rsidRPr="008E1B99" w:rsidRDefault="006B1E8A" w:rsidP="00583AD9">
            <w:pPr>
              <w:ind w:firstLine="567"/>
              <w:jc w:val="both"/>
              <w:rPr>
                <w:rFonts w:ascii="Garamond" w:hAnsi="Garamond"/>
              </w:rPr>
            </w:pPr>
            <w:r w:rsidRPr="008E1B99">
              <w:rPr>
                <w:rFonts w:ascii="Garamond" w:hAnsi="Garamond"/>
              </w:rPr>
              <w:t xml:space="preserve">– отсутствие подтверждения результата расчета величины учетного показателя в течение 5 (пяти) рабочих дней с даты его направления инициатору в порядке, предусмотренном настоящим Порядком; </w:t>
            </w:r>
          </w:p>
          <w:p w:rsidR="006B1E8A" w:rsidRPr="008E1B99" w:rsidRDefault="006B1E8A" w:rsidP="00583AD9">
            <w:pPr>
              <w:ind w:firstLine="567"/>
              <w:jc w:val="both"/>
              <w:rPr>
                <w:rFonts w:ascii="Garamond" w:hAnsi="Garamond"/>
              </w:rPr>
            </w:pPr>
            <w:r w:rsidRPr="008E1B99">
              <w:rPr>
                <w:rFonts w:ascii="Garamond" w:hAnsi="Garamond"/>
              </w:rPr>
              <w:t xml:space="preserve">– присутствие в результатах расчета величины учетного показателя часовых величин, превышающих </w:t>
            </w:r>
            <w:r w:rsidR="00E24E41">
              <w:rPr>
                <w:rFonts w:ascii="Garamond" w:hAnsi="Garamond"/>
                <w:highlight w:val="yellow"/>
              </w:rPr>
              <w:t>более чем на 1</w:t>
            </w:r>
            <w:r w:rsidRPr="008E1B99">
              <w:rPr>
                <w:rFonts w:ascii="Garamond" w:hAnsi="Garamond"/>
                <w:highlight w:val="yellow"/>
              </w:rPr>
              <w:t>5</w:t>
            </w:r>
            <w:r>
              <w:rPr>
                <w:rFonts w:ascii="Garamond" w:hAnsi="Garamond"/>
                <w:highlight w:val="yellow"/>
              </w:rPr>
              <w:t> </w:t>
            </w:r>
            <w:r w:rsidRPr="008E1B99">
              <w:rPr>
                <w:rFonts w:ascii="Garamond" w:hAnsi="Garamond"/>
                <w:highlight w:val="yellow"/>
              </w:rPr>
              <w:t>%</w:t>
            </w:r>
            <w:r w:rsidRPr="008E1B99">
              <w:rPr>
                <w:rFonts w:ascii="Garamond" w:hAnsi="Garamond"/>
              </w:rPr>
              <w:t xml:space="preserve"> величину установленной мощности в ГТП генерации инициатора;</w:t>
            </w:r>
          </w:p>
          <w:p w:rsidR="006B1E8A" w:rsidRPr="008E1B99" w:rsidRDefault="006B1E8A" w:rsidP="00583AD9">
            <w:pPr>
              <w:ind w:firstLine="567"/>
              <w:jc w:val="both"/>
              <w:rPr>
                <w:rFonts w:ascii="Garamond" w:hAnsi="Garamond"/>
              </w:rPr>
            </w:pPr>
            <w:r w:rsidRPr="008E1B99">
              <w:rPr>
                <w:rFonts w:ascii="Garamond" w:hAnsi="Garamond"/>
              </w:rPr>
              <w:t>– наличие отрицательных часовых величин в ГТП потребления инициатора, при условии наличия в указанной ГТП только одного сечения коммерческого учета (за исключением ФСК и ГТП потребления, сальдо перетоков в которых согласно пп. 4.1, 4.2 приложения 4 к настоящему Положению могут быть отрицательными, а также за исключением сальдо перетоков, в которых отрицательные почасовые значения электроэнергии равны ±2 кВт∙ч × N, где N – число точек измерений активной энергии, используемых для расчета значений электроэнергии в точках поставки, включенных в указанное сечение коммерческого учета);</w:t>
            </w:r>
          </w:p>
        </w:tc>
      </w:tr>
    </w:tbl>
    <w:p w:rsidR="006B1E8A" w:rsidRDefault="006B1E8A" w:rsidP="00BD75D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6B1E8A" w:rsidSect="003167A5">
      <w:pgSz w:w="16838" w:h="11906" w:orient="landscape"/>
      <w:pgMar w:top="1134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1E8A" w:rsidRDefault="006B1E8A" w:rsidP="00DB458D">
      <w:pPr>
        <w:spacing w:after="0" w:line="240" w:lineRule="auto"/>
      </w:pPr>
      <w:r>
        <w:separator/>
      </w:r>
    </w:p>
  </w:endnote>
  <w:endnote w:type="continuationSeparator" w:id="0">
    <w:p w:rsidR="006B1E8A" w:rsidRDefault="006B1E8A" w:rsidP="00DB45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1E8A" w:rsidRDefault="006B1E8A" w:rsidP="00DB458D">
      <w:pPr>
        <w:spacing w:after="0" w:line="240" w:lineRule="auto"/>
      </w:pPr>
      <w:r>
        <w:separator/>
      </w:r>
    </w:p>
  </w:footnote>
  <w:footnote w:type="continuationSeparator" w:id="0">
    <w:p w:rsidR="006B1E8A" w:rsidRDefault="006B1E8A" w:rsidP="00DB45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D43EFCE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1" w15:restartNumberingAfterBreak="0">
    <w:nsid w:val="FFFFFFFB"/>
    <w:multiLevelType w:val="multilevel"/>
    <w:tmpl w:val="DA48B33E"/>
    <w:lvl w:ilvl="0">
      <w:start w:val="1"/>
      <w:numFmt w:val="none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537"/>
        </w:tabs>
        <w:ind w:left="537" w:hanging="357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2.%3.%4."/>
      <w:lvlJc w:val="left"/>
      <w:pPr>
        <w:tabs>
          <w:tab w:val="num" w:pos="851"/>
        </w:tabs>
        <w:ind w:left="851" w:hanging="567"/>
      </w:pPr>
      <w:rPr>
        <w:rFonts w:cs="Times New Roman" w:hint="default"/>
      </w:rPr>
    </w:lvl>
    <w:lvl w:ilvl="4">
      <w:start w:val="1"/>
      <w:numFmt w:val="decimal"/>
      <w:lvlText w:val="%5.1.1.1."/>
      <w:lvlJc w:val="left"/>
      <w:pPr>
        <w:tabs>
          <w:tab w:val="num" w:pos="1134"/>
        </w:tabs>
        <w:ind w:left="1134" w:hanging="566"/>
      </w:pPr>
      <w:rPr>
        <w:rFonts w:ascii="Garamond" w:hAnsi="Garamond" w:cs="Times New Roman" w:hint="default"/>
      </w:rPr>
    </w:lvl>
    <w:lvl w:ilvl="5">
      <w:start w:val="1"/>
      <w:numFmt w:val="lowerRoman"/>
      <w:lvlText w:val="%6)"/>
      <w:lvlJc w:val="left"/>
      <w:pPr>
        <w:tabs>
          <w:tab w:val="num" w:pos="0"/>
        </w:tabs>
      </w:pPr>
      <w:rPr>
        <w:rFonts w:cs="Times New Roman" w:hint="default"/>
      </w:rPr>
    </w:lvl>
    <w:lvl w:ilvl="6">
      <w:start w:val="1"/>
      <w:numFmt w:val="none"/>
      <w:suff w:val="nothing"/>
      <w:lvlText w:val=""/>
      <w:lvlJc w:val="left"/>
      <w:rPr>
        <w:rFonts w:cs="Times New Roman" w:hint="default"/>
      </w:rPr>
    </w:lvl>
    <w:lvl w:ilvl="7">
      <w:start w:val="1"/>
      <w:numFmt w:val="none"/>
      <w:suff w:val="nothing"/>
      <w:lvlText w:val=""/>
      <w:lvlJc w:val="left"/>
      <w:rPr>
        <w:rFonts w:cs="Times New Roman" w:hint="default"/>
      </w:rPr>
    </w:lvl>
    <w:lvl w:ilvl="8">
      <w:start w:val="1"/>
      <w:numFmt w:val="none"/>
      <w:suff w:val="nothing"/>
      <w:lvlText w:val=""/>
      <w:lvlJc w:val="left"/>
      <w:rPr>
        <w:rFonts w:cs="Times New Roman" w:hint="default"/>
      </w:rPr>
    </w:lvl>
  </w:abstractNum>
  <w:abstractNum w:abstractNumId="2" w15:restartNumberingAfterBreak="0">
    <w:nsid w:val="09565BE9"/>
    <w:multiLevelType w:val="hybridMultilevel"/>
    <w:tmpl w:val="3E605C0E"/>
    <w:lvl w:ilvl="0" w:tplc="6E4A9A64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  <w:b/>
      </w:rPr>
    </w:lvl>
    <w:lvl w:ilvl="1" w:tplc="9FC84DD4">
      <w:start w:val="1"/>
      <w:numFmt w:val="decimal"/>
      <w:lvlText w:val="%2)"/>
      <w:lvlJc w:val="left"/>
      <w:pPr>
        <w:tabs>
          <w:tab w:val="num" w:pos="2085"/>
        </w:tabs>
        <w:ind w:left="2085" w:hanging="825"/>
      </w:pPr>
      <w:rPr>
        <w:rFonts w:cs="Times New Roman" w:hint="default"/>
      </w:rPr>
    </w:lvl>
    <w:lvl w:ilvl="2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3" w:tplc="E3CEF4DA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 w:hint="default"/>
        <w:b w:val="0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" w15:restartNumberingAfterBreak="0">
    <w:nsid w:val="16ED380C"/>
    <w:multiLevelType w:val="hybridMultilevel"/>
    <w:tmpl w:val="7778A81E"/>
    <w:lvl w:ilvl="0" w:tplc="D33E7D9E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10323BE"/>
    <w:multiLevelType w:val="hybridMultilevel"/>
    <w:tmpl w:val="399695D6"/>
    <w:lvl w:ilvl="0" w:tplc="0419000F">
      <w:start w:val="4"/>
      <w:numFmt w:val="decimal"/>
      <w:pStyle w:val="2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2C751D2"/>
    <w:multiLevelType w:val="hybridMultilevel"/>
    <w:tmpl w:val="E886DFE2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8BF5117"/>
    <w:multiLevelType w:val="hybridMultilevel"/>
    <w:tmpl w:val="3E605C0E"/>
    <w:lvl w:ilvl="0" w:tplc="6E4A9A64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  <w:b/>
      </w:rPr>
    </w:lvl>
    <w:lvl w:ilvl="1" w:tplc="9FC84DD4">
      <w:start w:val="1"/>
      <w:numFmt w:val="decimal"/>
      <w:lvlText w:val="%2)"/>
      <w:lvlJc w:val="left"/>
      <w:pPr>
        <w:tabs>
          <w:tab w:val="num" w:pos="2085"/>
        </w:tabs>
        <w:ind w:left="2085" w:hanging="825"/>
      </w:pPr>
      <w:rPr>
        <w:rFonts w:cs="Times New Roman" w:hint="default"/>
      </w:rPr>
    </w:lvl>
    <w:lvl w:ilvl="2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3" w:tplc="E3CEF4DA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 w:hint="default"/>
        <w:b w:val="0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7" w15:restartNumberingAfterBreak="0">
    <w:nsid w:val="37C119D6"/>
    <w:multiLevelType w:val="hybridMultilevel"/>
    <w:tmpl w:val="02BC5D4C"/>
    <w:lvl w:ilvl="0" w:tplc="7702185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322337D"/>
    <w:multiLevelType w:val="hybridMultilevel"/>
    <w:tmpl w:val="7778A81E"/>
    <w:lvl w:ilvl="0" w:tplc="D33E7D9E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ED344E3"/>
    <w:multiLevelType w:val="hybridMultilevel"/>
    <w:tmpl w:val="FA3A20D0"/>
    <w:lvl w:ilvl="0" w:tplc="1398F04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22A67E2"/>
    <w:multiLevelType w:val="hybridMultilevel"/>
    <w:tmpl w:val="9948F5E2"/>
    <w:lvl w:ilvl="0" w:tplc="767284D2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07F3CD6"/>
    <w:multiLevelType w:val="hybridMultilevel"/>
    <w:tmpl w:val="F66058B8"/>
    <w:lvl w:ilvl="0" w:tplc="E0B66864">
      <w:start w:val="1"/>
      <w:numFmt w:val="bullet"/>
      <w:lvlText w:val=""/>
      <w:lvlJc w:val="left"/>
      <w:pPr>
        <w:tabs>
          <w:tab w:val="num" w:pos="833"/>
        </w:tabs>
        <w:ind w:left="83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hint="default"/>
      </w:rPr>
    </w:lvl>
  </w:abstractNum>
  <w:abstractNum w:abstractNumId="12" w15:restartNumberingAfterBreak="0">
    <w:nsid w:val="64B42AA5"/>
    <w:multiLevelType w:val="hybridMultilevel"/>
    <w:tmpl w:val="21CA8600"/>
    <w:lvl w:ilvl="0" w:tplc="EC86902A">
      <w:start w:val="4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" w15:restartNumberingAfterBreak="0">
    <w:nsid w:val="6DC4554C"/>
    <w:multiLevelType w:val="multilevel"/>
    <w:tmpl w:val="3E605C0E"/>
    <w:lvl w:ilvl="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  <w:b/>
      </w:rPr>
    </w:lvl>
    <w:lvl w:ilvl="1">
      <w:start w:val="1"/>
      <w:numFmt w:val="decimal"/>
      <w:lvlText w:val="%2)"/>
      <w:lvlJc w:val="left"/>
      <w:pPr>
        <w:tabs>
          <w:tab w:val="num" w:pos="2085"/>
        </w:tabs>
        <w:ind w:left="2085" w:hanging="825"/>
      </w:pPr>
      <w:rPr>
        <w:rFonts w:cs="Times New Roman" w:hint="default"/>
      </w:rPr>
    </w:lvl>
    <w:lvl w:ilvl="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 w:hint="default"/>
        <w:b w:val="0"/>
      </w:rPr>
    </w:lvl>
    <w:lvl w:ilvl="4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9"/>
  </w:num>
  <w:num w:numId="4">
    <w:abstractNumId w:val="10"/>
  </w:num>
  <w:num w:numId="5">
    <w:abstractNumId w:val="2"/>
  </w:num>
  <w:num w:numId="6">
    <w:abstractNumId w:val="6"/>
  </w:num>
  <w:num w:numId="7">
    <w:abstractNumId w:val="13"/>
  </w:num>
  <w:num w:numId="8">
    <w:abstractNumId w:val="7"/>
  </w:num>
  <w:num w:numId="9">
    <w:abstractNumId w:val="11"/>
  </w:num>
  <w:num w:numId="10">
    <w:abstractNumId w:val="1"/>
  </w:num>
  <w:num w:numId="11">
    <w:abstractNumId w:val="5"/>
  </w:num>
  <w:num w:numId="12">
    <w:abstractNumId w:val="12"/>
  </w:num>
  <w:num w:numId="13">
    <w:abstractNumId w:val="4"/>
  </w:num>
  <w:num w:numId="14">
    <w:abstractNumId w:val="0"/>
  </w:num>
  <w:num w:numId="15">
    <w:abstractNumId w:val="8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F0805"/>
    <w:rsid w:val="0000009B"/>
    <w:rsid w:val="000009D3"/>
    <w:rsid w:val="000605DB"/>
    <w:rsid w:val="00061EE7"/>
    <w:rsid w:val="0006310C"/>
    <w:rsid w:val="00064575"/>
    <w:rsid w:val="00070634"/>
    <w:rsid w:val="00075D2E"/>
    <w:rsid w:val="000949A4"/>
    <w:rsid w:val="000961A2"/>
    <w:rsid w:val="000A4D05"/>
    <w:rsid w:val="000C396C"/>
    <w:rsid w:val="000E7DA2"/>
    <w:rsid w:val="000F42CE"/>
    <w:rsid w:val="000F4E4F"/>
    <w:rsid w:val="001016A7"/>
    <w:rsid w:val="00105655"/>
    <w:rsid w:val="0010696A"/>
    <w:rsid w:val="00120E0E"/>
    <w:rsid w:val="0012167A"/>
    <w:rsid w:val="00134A55"/>
    <w:rsid w:val="001363A5"/>
    <w:rsid w:val="0013646A"/>
    <w:rsid w:val="00150CBF"/>
    <w:rsid w:val="00162C79"/>
    <w:rsid w:val="001661AA"/>
    <w:rsid w:val="001762E3"/>
    <w:rsid w:val="001967A7"/>
    <w:rsid w:val="001B0A4C"/>
    <w:rsid w:val="001B37D0"/>
    <w:rsid w:val="001C1B4D"/>
    <w:rsid w:val="001D38B0"/>
    <w:rsid w:val="001F0805"/>
    <w:rsid w:val="001F08E0"/>
    <w:rsid w:val="00221CD9"/>
    <w:rsid w:val="0022215C"/>
    <w:rsid w:val="002523E2"/>
    <w:rsid w:val="00253DF4"/>
    <w:rsid w:val="00254B85"/>
    <w:rsid w:val="00265C87"/>
    <w:rsid w:val="002808C9"/>
    <w:rsid w:val="00290D80"/>
    <w:rsid w:val="002927EF"/>
    <w:rsid w:val="002A02EF"/>
    <w:rsid w:val="002A10EE"/>
    <w:rsid w:val="002B45CB"/>
    <w:rsid w:val="002B5568"/>
    <w:rsid w:val="002C1743"/>
    <w:rsid w:val="002C2010"/>
    <w:rsid w:val="002C66C8"/>
    <w:rsid w:val="002C6FC6"/>
    <w:rsid w:val="002C77D2"/>
    <w:rsid w:val="002D20F2"/>
    <w:rsid w:val="002D4ED3"/>
    <w:rsid w:val="002D60F4"/>
    <w:rsid w:val="002F2F51"/>
    <w:rsid w:val="0030574B"/>
    <w:rsid w:val="00306089"/>
    <w:rsid w:val="003066B9"/>
    <w:rsid w:val="00311F8D"/>
    <w:rsid w:val="003167A5"/>
    <w:rsid w:val="00326E5A"/>
    <w:rsid w:val="003277AC"/>
    <w:rsid w:val="00343386"/>
    <w:rsid w:val="00354929"/>
    <w:rsid w:val="003607E3"/>
    <w:rsid w:val="003802E6"/>
    <w:rsid w:val="00381265"/>
    <w:rsid w:val="00385B68"/>
    <w:rsid w:val="00387513"/>
    <w:rsid w:val="0039246F"/>
    <w:rsid w:val="003924FA"/>
    <w:rsid w:val="003A3F36"/>
    <w:rsid w:val="003A7983"/>
    <w:rsid w:val="003B0733"/>
    <w:rsid w:val="003B2FC1"/>
    <w:rsid w:val="003B3889"/>
    <w:rsid w:val="003E0365"/>
    <w:rsid w:val="003E514C"/>
    <w:rsid w:val="003E53AC"/>
    <w:rsid w:val="003F65E2"/>
    <w:rsid w:val="004022C6"/>
    <w:rsid w:val="00414284"/>
    <w:rsid w:val="00414D4C"/>
    <w:rsid w:val="00417141"/>
    <w:rsid w:val="00417552"/>
    <w:rsid w:val="00427C0B"/>
    <w:rsid w:val="00431700"/>
    <w:rsid w:val="004353CE"/>
    <w:rsid w:val="004368C8"/>
    <w:rsid w:val="00443821"/>
    <w:rsid w:val="00444C81"/>
    <w:rsid w:val="004470AA"/>
    <w:rsid w:val="00457B81"/>
    <w:rsid w:val="00473890"/>
    <w:rsid w:val="00474024"/>
    <w:rsid w:val="0047550D"/>
    <w:rsid w:val="00481A5A"/>
    <w:rsid w:val="00492C56"/>
    <w:rsid w:val="00493A66"/>
    <w:rsid w:val="004A5824"/>
    <w:rsid w:val="004B2146"/>
    <w:rsid w:val="004B4C82"/>
    <w:rsid w:val="004B70A9"/>
    <w:rsid w:val="004C070B"/>
    <w:rsid w:val="004C2E97"/>
    <w:rsid w:val="004D0FFE"/>
    <w:rsid w:val="004D148C"/>
    <w:rsid w:val="004D235E"/>
    <w:rsid w:val="004D5BDC"/>
    <w:rsid w:val="004D628C"/>
    <w:rsid w:val="004D761F"/>
    <w:rsid w:val="004E009D"/>
    <w:rsid w:val="004E1CAE"/>
    <w:rsid w:val="004E6BA0"/>
    <w:rsid w:val="004F4926"/>
    <w:rsid w:val="004F53B7"/>
    <w:rsid w:val="004F650A"/>
    <w:rsid w:val="004F6712"/>
    <w:rsid w:val="004F7C42"/>
    <w:rsid w:val="005061F1"/>
    <w:rsid w:val="00510342"/>
    <w:rsid w:val="00510E31"/>
    <w:rsid w:val="005123CF"/>
    <w:rsid w:val="00525066"/>
    <w:rsid w:val="00525335"/>
    <w:rsid w:val="00526C9A"/>
    <w:rsid w:val="005318FC"/>
    <w:rsid w:val="0053381D"/>
    <w:rsid w:val="00543660"/>
    <w:rsid w:val="00546322"/>
    <w:rsid w:val="00546B7E"/>
    <w:rsid w:val="00551EDE"/>
    <w:rsid w:val="00553B46"/>
    <w:rsid w:val="00553DE9"/>
    <w:rsid w:val="005570C3"/>
    <w:rsid w:val="0056179D"/>
    <w:rsid w:val="005622FA"/>
    <w:rsid w:val="00583AD9"/>
    <w:rsid w:val="005A363A"/>
    <w:rsid w:val="005B32BF"/>
    <w:rsid w:val="005C013B"/>
    <w:rsid w:val="005C6252"/>
    <w:rsid w:val="005D1BC3"/>
    <w:rsid w:val="005D2B24"/>
    <w:rsid w:val="005F1F33"/>
    <w:rsid w:val="005F3908"/>
    <w:rsid w:val="005F413F"/>
    <w:rsid w:val="005F7382"/>
    <w:rsid w:val="00603196"/>
    <w:rsid w:val="0060596A"/>
    <w:rsid w:val="006067B0"/>
    <w:rsid w:val="00616F3C"/>
    <w:rsid w:val="0062197F"/>
    <w:rsid w:val="00623E4C"/>
    <w:rsid w:val="00627DC8"/>
    <w:rsid w:val="00642E6F"/>
    <w:rsid w:val="006461ED"/>
    <w:rsid w:val="0065063C"/>
    <w:rsid w:val="006529C8"/>
    <w:rsid w:val="00654C79"/>
    <w:rsid w:val="00662524"/>
    <w:rsid w:val="00664A4F"/>
    <w:rsid w:val="00677CBA"/>
    <w:rsid w:val="00685748"/>
    <w:rsid w:val="00685790"/>
    <w:rsid w:val="00686B44"/>
    <w:rsid w:val="006873CB"/>
    <w:rsid w:val="006964EB"/>
    <w:rsid w:val="006A723B"/>
    <w:rsid w:val="006B1E8A"/>
    <w:rsid w:val="006B2E3B"/>
    <w:rsid w:val="006C35A1"/>
    <w:rsid w:val="006C5B70"/>
    <w:rsid w:val="006D575E"/>
    <w:rsid w:val="006F2B6D"/>
    <w:rsid w:val="00717617"/>
    <w:rsid w:val="00726365"/>
    <w:rsid w:val="00742CC3"/>
    <w:rsid w:val="00785173"/>
    <w:rsid w:val="00794244"/>
    <w:rsid w:val="007A448D"/>
    <w:rsid w:val="007B18E7"/>
    <w:rsid w:val="007B3A71"/>
    <w:rsid w:val="007C5D3F"/>
    <w:rsid w:val="007D1D02"/>
    <w:rsid w:val="007D46F7"/>
    <w:rsid w:val="007F2107"/>
    <w:rsid w:val="007F5313"/>
    <w:rsid w:val="00810CC3"/>
    <w:rsid w:val="00846D06"/>
    <w:rsid w:val="00855C08"/>
    <w:rsid w:val="008624BA"/>
    <w:rsid w:val="00865010"/>
    <w:rsid w:val="008659A9"/>
    <w:rsid w:val="00871D9A"/>
    <w:rsid w:val="00872C4E"/>
    <w:rsid w:val="0088338F"/>
    <w:rsid w:val="008864AB"/>
    <w:rsid w:val="008933DC"/>
    <w:rsid w:val="008A2882"/>
    <w:rsid w:val="008B3EC7"/>
    <w:rsid w:val="008C1787"/>
    <w:rsid w:val="008C2CCC"/>
    <w:rsid w:val="008C35C0"/>
    <w:rsid w:val="008D3C0B"/>
    <w:rsid w:val="008E1B99"/>
    <w:rsid w:val="008E244F"/>
    <w:rsid w:val="008E40FD"/>
    <w:rsid w:val="008E6800"/>
    <w:rsid w:val="008F5381"/>
    <w:rsid w:val="0090412B"/>
    <w:rsid w:val="0090672D"/>
    <w:rsid w:val="009074DF"/>
    <w:rsid w:val="00920D48"/>
    <w:rsid w:val="00932317"/>
    <w:rsid w:val="00945C2D"/>
    <w:rsid w:val="00950F2A"/>
    <w:rsid w:val="0095185C"/>
    <w:rsid w:val="0095272C"/>
    <w:rsid w:val="009561DE"/>
    <w:rsid w:val="009751F0"/>
    <w:rsid w:val="00980F46"/>
    <w:rsid w:val="00982776"/>
    <w:rsid w:val="00991FA7"/>
    <w:rsid w:val="00993C41"/>
    <w:rsid w:val="009953C5"/>
    <w:rsid w:val="009A5540"/>
    <w:rsid w:val="009C2580"/>
    <w:rsid w:val="009C321F"/>
    <w:rsid w:val="009C5AAE"/>
    <w:rsid w:val="009C729C"/>
    <w:rsid w:val="009D01D9"/>
    <w:rsid w:val="009D4E03"/>
    <w:rsid w:val="009E5480"/>
    <w:rsid w:val="00A02505"/>
    <w:rsid w:val="00A06410"/>
    <w:rsid w:val="00A13EBF"/>
    <w:rsid w:val="00A1636C"/>
    <w:rsid w:val="00A16883"/>
    <w:rsid w:val="00A30813"/>
    <w:rsid w:val="00A352C9"/>
    <w:rsid w:val="00A4694E"/>
    <w:rsid w:val="00A47694"/>
    <w:rsid w:val="00A5516A"/>
    <w:rsid w:val="00A572AA"/>
    <w:rsid w:val="00A7058C"/>
    <w:rsid w:val="00A72ACE"/>
    <w:rsid w:val="00A80903"/>
    <w:rsid w:val="00A8145C"/>
    <w:rsid w:val="00A8237A"/>
    <w:rsid w:val="00A82A7B"/>
    <w:rsid w:val="00A830FE"/>
    <w:rsid w:val="00A83429"/>
    <w:rsid w:val="00A96C94"/>
    <w:rsid w:val="00A97359"/>
    <w:rsid w:val="00AA1A3A"/>
    <w:rsid w:val="00AA56FB"/>
    <w:rsid w:val="00AA7917"/>
    <w:rsid w:val="00AB5768"/>
    <w:rsid w:val="00AB6043"/>
    <w:rsid w:val="00AB7523"/>
    <w:rsid w:val="00AC11A0"/>
    <w:rsid w:val="00AC3CC8"/>
    <w:rsid w:val="00AC59C8"/>
    <w:rsid w:val="00AC76EC"/>
    <w:rsid w:val="00AE1046"/>
    <w:rsid w:val="00AE19F0"/>
    <w:rsid w:val="00AE3D6F"/>
    <w:rsid w:val="00AE5F8A"/>
    <w:rsid w:val="00AF320F"/>
    <w:rsid w:val="00B1148A"/>
    <w:rsid w:val="00B15E95"/>
    <w:rsid w:val="00B1687C"/>
    <w:rsid w:val="00B250BF"/>
    <w:rsid w:val="00B36440"/>
    <w:rsid w:val="00B36D0D"/>
    <w:rsid w:val="00B420A6"/>
    <w:rsid w:val="00B42584"/>
    <w:rsid w:val="00B63332"/>
    <w:rsid w:val="00B64BCA"/>
    <w:rsid w:val="00B64CB0"/>
    <w:rsid w:val="00B72803"/>
    <w:rsid w:val="00B73A7C"/>
    <w:rsid w:val="00B85657"/>
    <w:rsid w:val="00B92C56"/>
    <w:rsid w:val="00BA0D28"/>
    <w:rsid w:val="00BA1408"/>
    <w:rsid w:val="00BA3EE1"/>
    <w:rsid w:val="00BA4092"/>
    <w:rsid w:val="00BA579C"/>
    <w:rsid w:val="00BA6D8C"/>
    <w:rsid w:val="00BB3590"/>
    <w:rsid w:val="00BB565F"/>
    <w:rsid w:val="00BB5700"/>
    <w:rsid w:val="00BB7076"/>
    <w:rsid w:val="00BC5928"/>
    <w:rsid w:val="00BD71C5"/>
    <w:rsid w:val="00BD75DC"/>
    <w:rsid w:val="00BE48AA"/>
    <w:rsid w:val="00BF5AE5"/>
    <w:rsid w:val="00C00CA6"/>
    <w:rsid w:val="00C073A4"/>
    <w:rsid w:val="00C1488D"/>
    <w:rsid w:val="00C21C3E"/>
    <w:rsid w:val="00C23383"/>
    <w:rsid w:val="00C23428"/>
    <w:rsid w:val="00C34FBD"/>
    <w:rsid w:val="00C46C6E"/>
    <w:rsid w:val="00C63ED0"/>
    <w:rsid w:val="00C64598"/>
    <w:rsid w:val="00C6776D"/>
    <w:rsid w:val="00C731F7"/>
    <w:rsid w:val="00C847A5"/>
    <w:rsid w:val="00C869D6"/>
    <w:rsid w:val="00C8763E"/>
    <w:rsid w:val="00C96BA1"/>
    <w:rsid w:val="00CA074B"/>
    <w:rsid w:val="00CA283F"/>
    <w:rsid w:val="00CA6557"/>
    <w:rsid w:val="00CB0425"/>
    <w:rsid w:val="00CB1658"/>
    <w:rsid w:val="00CB2BE6"/>
    <w:rsid w:val="00CC79A4"/>
    <w:rsid w:val="00CD0BB9"/>
    <w:rsid w:val="00CD36CB"/>
    <w:rsid w:val="00CD5B2C"/>
    <w:rsid w:val="00CE71BB"/>
    <w:rsid w:val="00CF455B"/>
    <w:rsid w:val="00D02A0B"/>
    <w:rsid w:val="00D135C8"/>
    <w:rsid w:val="00D17BCF"/>
    <w:rsid w:val="00D22830"/>
    <w:rsid w:val="00D3255E"/>
    <w:rsid w:val="00D4790E"/>
    <w:rsid w:val="00D77734"/>
    <w:rsid w:val="00D84534"/>
    <w:rsid w:val="00D90D6F"/>
    <w:rsid w:val="00D94411"/>
    <w:rsid w:val="00D95B73"/>
    <w:rsid w:val="00DA29FB"/>
    <w:rsid w:val="00DA6DE8"/>
    <w:rsid w:val="00DB3D8C"/>
    <w:rsid w:val="00DB458D"/>
    <w:rsid w:val="00DB7F90"/>
    <w:rsid w:val="00DC57B0"/>
    <w:rsid w:val="00DD3079"/>
    <w:rsid w:val="00DD6D1E"/>
    <w:rsid w:val="00DF2069"/>
    <w:rsid w:val="00E035EF"/>
    <w:rsid w:val="00E03C3C"/>
    <w:rsid w:val="00E12AD2"/>
    <w:rsid w:val="00E20521"/>
    <w:rsid w:val="00E24E41"/>
    <w:rsid w:val="00E27BB2"/>
    <w:rsid w:val="00E30FBF"/>
    <w:rsid w:val="00E44706"/>
    <w:rsid w:val="00E64645"/>
    <w:rsid w:val="00E706B2"/>
    <w:rsid w:val="00E75DC1"/>
    <w:rsid w:val="00E804C3"/>
    <w:rsid w:val="00E858DF"/>
    <w:rsid w:val="00EB5115"/>
    <w:rsid w:val="00EC3D84"/>
    <w:rsid w:val="00EC7E9F"/>
    <w:rsid w:val="00EE10AE"/>
    <w:rsid w:val="00EE6CBC"/>
    <w:rsid w:val="00EF238F"/>
    <w:rsid w:val="00F114FE"/>
    <w:rsid w:val="00F1294C"/>
    <w:rsid w:val="00F31ACD"/>
    <w:rsid w:val="00F51722"/>
    <w:rsid w:val="00F61823"/>
    <w:rsid w:val="00F63A7A"/>
    <w:rsid w:val="00F710F2"/>
    <w:rsid w:val="00F8048F"/>
    <w:rsid w:val="00F916AC"/>
    <w:rsid w:val="00FA1B19"/>
    <w:rsid w:val="00FA3307"/>
    <w:rsid w:val="00FA42B3"/>
    <w:rsid w:val="00FA6279"/>
    <w:rsid w:val="00FC7BF1"/>
    <w:rsid w:val="00FD1F59"/>
    <w:rsid w:val="00FD4020"/>
    <w:rsid w:val="00FD61D5"/>
    <w:rsid w:val="00FE337E"/>
    <w:rsid w:val="00FF0171"/>
    <w:rsid w:val="00FF0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FACD3B1-8CA4-4340-83AA-2C8D16717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locked="1" w:uiPriority="0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0805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1967A7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0">
    <w:name w:val="heading 2"/>
    <w:aliases w:val="h2,h21,Заголовок пункта (1.1),5,Reset numbering,222"/>
    <w:basedOn w:val="a"/>
    <w:next w:val="a"/>
    <w:link w:val="21"/>
    <w:uiPriority w:val="99"/>
    <w:qFormat/>
    <w:rsid w:val="000E7DA2"/>
    <w:pPr>
      <w:keepNext/>
      <w:spacing w:before="240" w:after="60" w:line="240" w:lineRule="auto"/>
      <w:outlineLvl w:val="1"/>
    </w:pPr>
    <w:rPr>
      <w:rFonts w:ascii="Arial" w:eastAsia="Times New Roman" w:hAnsi="Arial"/>
      <w:b/>
      <w:i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967A7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1">
    <w:name w:val="Заголовок 2 Знак"/>
    <w:aliases w:val="h2 Знак,h21 Знак,Заголовок пункта (1.1) Знак,5 Знак,Reset numbering Знак,222 Знак"/>
    <w:basedOn w:val="a0"/>
    <w:link w:val="20"/>
    <w:uiPriority w:val="99"/>
    <w:locked/>
    <w:rsid w:val="000E7DA2"/>
    <w:rPr>
      <w:rFonts w:ascii="Arial" w:hAnsi="Arial" w:cs="Times New Roman"/>
      <w:b/>
      <w:i/>
      <w:sz w:val="20"/>
      <w:szCs w:val="20"/>
      <w:lang w:eastAsia="ru-RU"/>
    </w:rPr>
  </w:style>
  <w:style w:type="paragraph" w:styleId="a3">
    <w:name w:val="List Paragraph"/>
    <w:basedOn w:val="a"/>
    <w:uiPriority w:val="99"/>
    <w:qFormat/>
    <w:rsid w:val="001F0805"/>
    <w:pPr>
      <w:overflowPunct w:val="0"/>
      <w:autoSpaceDE w:val="0"/>
      <w:autoSpaceDN w:val="0"/>
      <w:adjustRightInd w:val="0"/>
      <w:spacing w:after="0" w:line="240" w:lineRule="auto"/>
      <w:ind w:left="708"/>
      <w:textAlignment w:val="baseline"/>
    </w:pPr>
    <w:rPr>
      <w:rFonts w:ascii="Times New Roman" w:eastAsia="Times New Roman" w:hAnsi="Times New Roman"/>
      <w:sz w:val="20"/>
      <w:szCs w:val="20"/>
      <w:lang w:val="en-US" w:eastAsia="ru-RU"/>
    </w:rPr>
  </w:style>
  <w:style w:type="table" w:styleId="a4">
    <w:name w:val="Table Grid"/>
    <w:basedOn w:val="a1"/>
    <w:uiPriority w:val="99"/>
    <w:rsid w:val="001F0805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22">
    <w:name w:val="Body Text 22"/>
    <w:basedOn w:val="a"/>
    <w:uiPriority w:val="99"/>
    <w:rsid w:val="001F0805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5">
    <w:name w:val="Body Text"/>
    <w:basedOn w:val="a"/>
    <w:link w:val="a6"/>
    <w:uiPriority w:val="99"/>
    <w:rsid w:val="001967A7"/>
    <w:pPr>
      <w:widowControl w:val="0"/>
      <w:suppressAutoHyphens/>
      <w:spacing w:after="120" w:line="240" w:lineRule="auto"/>
    </w:pPr>
    <w:rPr>
      <w:rFonts w:ascii="Arial" w:eastAsia="Times New Roman" w:hAnsi="Arial"/>
      <w:kern w:val="1"/>
      <w:sz w:val="24"/>
      <w:szCs w:val="20"/>
      <w:lang w:eastAsia="ru-RU"/>
    </w:rPr>
  </w:style>
  <w:style w:type="character" w:customStyle="1" w:styleId="a6">
    <w:name w:val="Основной текст Знак"/>
    <w:basedOn w:val="a0"/>
    <w:link w:val="a5"/>
    <w:uiPriority w:val="99"/>
    <w:locked/>
    <w:rsid w:val="001967A7"/>
    <w:rPr>
      <w:rFonts w:ascii="Arial" w:hAnsi="Arial" w:cs="Times New Roman"/>
      <w:kern w:val="1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CD0BB9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a7">
    <w:name w:val="caption"/>
    <w:basedOn w:val="a"/>
    <w:uiPriority w:val="99"/>
    <w:qFormat/>
    <w:rsid w:val="00C847A5"/>
    <w:pPr>
      <w:widowControl w:val="0"/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character" w:styleId="a8">
    <w:name w:val="Hyperlink"/>
    <w:basedOn w:val="a0"/>
    <w:uiPriority w:val="99"/>
    <w:rsid w:val="00525066"/>
    <w:rPr>
      <w:rFonts w:cs="Times New Roman"/>
      <w:color w:val="0000FF"/>
      <w:u w:val="single"/>
    </w:rPr>
  </w:style>
  <w:style w:type="paragraph" w:styleId="a9">
    <w:name w:val="footer"/>
    <w:basedOn w:val="a"/>
    <w:link w:val="aa"/>
    <w:uiPriority w:val="99"/>
    <w:rsid w:val="00D95B73"/>
    <w:pPr>
      <w:tabs>
        <w:tab w:val="center" w:pos="4320"/>
        <w:tab w:val="right" w:pos="8640"/>
      </w:tabs>
      <w:spacing w:after="0" w:line="240" w:lineRule="auto"/>
      <w:ind w:firstLine="720"/>
      <w:jc w:val="both"/>
    </w:pPr>
    <w:rPr>
      <w:rFonts w:ascii="Times New Roman" w:eastAsia="MS Mincho" w:hAnsi="Times New Roman"/>
      <w:sz w:val="28"/>
      <w:szCs w:val="24"/>
      <w:lang w:val="en-US" w:eastAsia="ja-JP"/>
    </w:rPr>
  </w:style>
  <w:style w:type="character" w:customStyle="1" w:styleId="aa">
    <w:name w:val="Нижний колонтитул Знак"/>
    <w:basedOn w:val="a0"/>
    <w:link w:val="a9"/>
    <w:uiPriority w:val="99"/>
    <w:locked/>
    <w:rsid w:val="00D95B73"/>
    <w:rPr>
      <w:rFonts w:ascii="Times New Roman" w:eastAsia="MS Mincho" w:hAnsi="Times New Roman" w:cs="Times New Roman"/>
      <w:sz w:val="24"/>
      <w:szCs w:val="24"/>
      <w:lang w:val="en-US" w:eastAsia="ja-JP"/>
    </w:rPr>
  </w:style>
  <w:style w:type="paragraph" w:styleId="3">
    <w:name w:val="Body Text 3"/>
    <w:basedOn w:val="a"/>
    <w:link w:val="30"/>
    <w:uiPriority w:val="99"/>
    <w:rsid w:val="00D77734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locked/>
    <w:rsid w:val="00D77734"/>
    <w:rPr>
      <w:rFonts w:ascii="Times New Roman" w:hAnsi="Times New Roman" w:cs="Times New Roman"/>
      <w:sz w:val="16"/>
      <w:szCs w:val="16"/>
      <w:lang w:eastAsia="ru-RU"/>
    </w:rPr>
  </w:style>
  <w:style w:type="paragraph" w:styleId="ab">
    <w:name w:val="Balloon Text"/>
    <w:basedOn w:val="a"/>
    <w:link w:val="ac"/>
    <w:uiPriority w:val="99"/>
    <w:semiHidden/>
    <w:rsid w:val="002D20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2D20F2"/>
    <w:rPr>
      <w:rFonts w:ascii="Tahoma" w:hAnsi="Tahoma" w:cs="Tahoma"/>
      <w:sz w:val="16"/>
      <w:szCs w:val="16"/>
    </w:rPr>
  </w:style>
  <w:style w:type="paragraph" w:styleId="ad">
    <w:name w:val="header"/>
    <w:basedOn w:val="a"/>
    <w:link w:val="ae"/>
    <w:uiPriority w:val="99"/>
    <w:rsid w:val="00DB45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locked/>
    <w:rsid w:val="00DB458D"/>
    <w:rPr>
      <w:rFonts w:cs="Times New Roman"/>
    </w:rPr>
  </w:style>
  <w:style w:type="paragraph" w:styleId="2">
    <w:name w:val="List Number 2"/>
    <w:basedOn w:val="a"/>
    <w:uiPriority w:val="99"/>
    <w:rsid w:val="00546322"/>
    <w:pPr>
      <w:keepNext/>
      <w:keepLines/>
      <w:numPr>
        <w:numId w:val="13"/>
      </w:numPr>
      <w:tabs>
        <w:tab w:val="num" w:pos="643"/>
        <w:tab w:val="left" w:pos="1260"/>
      </w:tabs>
      <w:spacing w:before="120" w:after="0" w:line="240" w:lineRule="auto"/>
      <w:ind w:left="643"/>
      <w:jc w:val="both"/>
    </w:pPr>
    <w:rPr>
      <w:rFonts w:ascii="Garamond" w:eastAsia="Times New Roman" w:hAnsi="Garamond"/>
      <w:szCs w:val="20"/>
    </w:rPr>
  </w:style>
  <w:style w:type="paragraph" w:styleId="af">
    <w:name w:val="Body Text Indent"/>
    <w:basedOn w:val="a"/>
    <w:link w:val="af0"/>
    <w:uiPriority w:val="99"/>
    <w:rsid w:val="002C77D2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af0">
    <w:name w:val="Основной текст с отступом Знак"/>
    <w:basedOn w:val="a0"/>
    <w:link w:val="af"/>
    <w:uiPriority w:val="99"/>
    <w:locked/>
    <w:rsid w:val="002C77D2"/>
    <w:rPr>
      <w:rFonts w:ascii="Times New Roman" w:hAnsi="Times New Roman" w:cs="Times New Roman"/>
      <w:sz w:val="24"/>
      <w:szCs w:val="24"/>
    </w:rPr>
  </w:style>
  <w:style w:type="character" w:styleId="af1">
    <w:name w:val="annotation reference"/>
    <w:basedOn w:val="a0"/>
    <w:uiPriority w:val="99"/>
    <w:rsid w:val="00980F46"/>
    <w:rPr>
      <w:rFonts w:cs="Times New Roman"/>
      <w:sz w:val="16"/>
    </w:rPr>
  </w:style>
  <w:style w:type="paragraph" w:customStyle="1" w:styleId="ConsPlusTitle">
    <w:name w:val="ConsPlusTitle"/>
    <w:uiPriority w:val="99"/>
    <w:rsid w:val="004E6BA0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">
    <w:name w:val="ConsPlusNormal"/>
    <w:uiPriority w:val="99"/>
    <w:rsid w:val="00CB1658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styleId="af2">
    <w:name w:val="annotation text"/>
    <w:basedOn w:val="a"/>
    <w:link w:val="af3"/>
    <w:uiPriority w:val="99"/>
    <w:semiHidden/>
    <w:rsid w:val="00387513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locked/>
    <w:rsid w:val="00387513"/>
    <w:rPr>
      <w:rFonts w:cs="Times New Roman"/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rsid w:val="00387513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locked/>
    <w:rsid w:val="00387513"/>
    <w:rPr>
      <w:rFonts w:cs="Times New Roman"/>
      <w:b/>
      <w:bCs/>
      <w:sz w:val="20"/>
      <w:szCs w:val="20"/>
    </w:rPr>
  </w:style>
  <w:style w:type="paragraph" w:styleId="af6">
    <w:name w:val="Revision"/>
    <w:hidden/>
    <w:uiPriority w:val="99"/>
    <w:semiHidden/>
    <w:rsid w:val="00387513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29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7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1002</Words>
  <Characters>5714</Characters>
  <Application>Microsoft Office Word</Application>
  <DocSecurity>0</DocSecurity>
  <Lines>47</Lines>
  <Paragraphs>13</Paragraphs>
  <ScaleCrop>false</ScaleCrop>
  <Company/>
  <LinksUpToDate>false</LinksUpToDate>
  <CharactersWithSpaces>6703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abrosimova-ni</dc:creator>
  <cp:keywords/>
  <dc:description/>
  <cp:lastModifiedBy>Дарья Санне</cp:lastModifiedBy>
  <cp:revision>15</cp:revision>
  <cp:lastPrinted>2016-03-17T14:46:00Z</cp:lastPrinted>
  <dcterms:created xsi:type="dcterms:W3CDTF">2019-02-07T14:32:00Z</dcterms:created>
  <dcterms:modified xsi:type="dcterms:W3CDTF">2019-02-22T15:49:00Z</dcterms:modified>
</cp:coreProperties>
</file>