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3331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99450D" w:rsidRPr="008D0496" w:rsidTr="00703854">
        <w:trPr>
          <w:trHeight w:val="928"/>
        </w:trPr>
        <w:tc>
          <w:tcPr>
            <w:tcW w:w="15021" w:type="dxa"/>
          </w:tcPr>
          <w:p w:rsidR="0099450D" w:rsidRPr="00232BAD" w:rsidRDefault="0099450D" w:rsidP="00B859B2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8"/>
              </w:rPr>
            </w:pPr>
            <w:r w:rsidRPr="008D0496">
              <w:rPr>
                <w:rFonts w:ascii="Garamond" w:hAnsi="Garamond"/>
                <w:b/>
                <w:szCs w:val="28"/>
              </w:rPr>
              <w:t>Инициатор:</w:t>
            </w:r>
            <w:r w:rsidRPr="008D0496">
              <w:rPr>
                <w:rFonts w:ascii="Garamond" w:hAnsi="Garamond"/>
                <w:szCs w:val="28"/>
              </w:rPr>
              <w:t xml:space="preserve"> </w:t>
            </w:r>
            <w:r w:rsidR="00B859B2">
              <w:rPr>
                <w:rFonts w:ascii="Garamond" w:hAnsi="Garamond"/>
                <w:szCs w:val="28"/>
              </w:rPr>
              <w:t>ч</w:t>
            </w:r>
            <w:r w:rsidR="00232BAD" w:rsidRPr="00232BAD">
              <w:rPr>
                <w:rFonts w:ascii="Garamond" w:hAnsi="Garamond"/>
                <w:szCs w:val="28"/>
              </w:rPr>
              <w:t xml:space="preserve">лен Наблюдательного совета Ассоциации </w:t>
            </w:r>
            <w:r w:rsidR="00232BAD">
              <w:rPr>
                <w:rFonts w:ascii="Garamond" w:hAnsi="Garamond"/>
                <w:szCs w:val="28"/>
              </w:rPr>
              <w:t>«НП Совет рынка» Ф.Ю. Опадчий</w:t>
            </w:r>
            <w:r w:rsidR="00B859B2">
              <w:rPr>
                <w:rFonts w:ascii="Garamond" w:hAnsi="Garamond"/>
                <w:szCs w:val="28"/>
              </w:rPr>
              <w:t>.</w:t>
            </w:r>
          </w:p>
          <w:p w:rsidR="0099450D" w:rsidRPr="008D0496" w:rsidRDefault="0099450D" w:rsidP="00B859B2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8D0496">
              <w:rPr>
                <w:rFonts w:ascii="Garamond" w:hAnsi="Garamond"/>
                <w:b/>
                <w:szCs w:val="28"/>
              </w:rPr>
              <w:t>Обоснование:</w:t>
            </w:r>
            <w:r w:rsidR="00EF05EF" w:rsidRPr="008D0496">
              <w:rPr>
                <w:rFonts w:ascii="Garamond" w:hAnsi="Garamond"/>
                <w:szCs w:val="28"/>
              </w:rPr>
              <w:t xml:space="preserve"> </w:t>
            </w:r>
            <w:r w:rsidR="00B859B2">
              <w:rPr>
                <w:rFonts w:ascii="Garamond" w:hAnsi="Garamond"/>
                <w:szCs w:val="28"/>
              </w:rPr>
              <w:t>в</w:t>
            </w:r>
            <w:r w:rsidR="00F522F2" w:rsidRPr="00F522F2">
              <w:rPr>
                <w:rFonts w:ascii="Garamond" w:hAnsi="Garamond"/>
                <w:szCs w:val="28"/>
              </w:rPr>
              <w:t>о исполнение поручения Наблюдательного совета Ассоциации «НП Совет рынка» (Протокол №</w:t>
            </w:r>
            <w:r w:rsidR="00703854">
              <w:rPr>
                <w:rFonts w:ascii="Garamond" w:hAnsi="Garamond"/>
                <w:szCs w:val="28"/>
              </w:rPr>
              <w:t xml:space="preserve"> 24/2018 от 24.12.2018, решение по </w:t>
            </w:r>
            <w:r w:rsidR="00F522F2" w:rsidRPr="00F522F2">
              <w:rPr>
                <w:rFonts w:ascii="Garamond" w:hAnsi="Garamond"/>
                <w:szCs w:val="28"/>
              </w:rPr>
              <w:t>п. VI.I вопроса № 2 повестки заседания), в связи с утверждением Требований к участию генерирующего оборудования в общем пе</w:t>
            </w:r>
            <w:r w:rsidR="00703854">
              <w:rPr>
                <w:rFonts w:ascii="Garamond" w:hAnsi="Garamond"/>
                <w:szCs w:val="28"/>
              </w:rPr>
              <w:t>рвичном регулировании частоты (п</w:t>
            </w:r>
            <w:r w:rsidR="00F522F2" w:rsidRPr="00F522F2">
              <w:rPr>
                <w:rFonts w:ascii="Garamond" w:hAnsi="Garamond"/>
                <w:szCs w:val="28"/>
              </w:rPr>
              <w:t>риказ Минэ</w:t>
            </w:r>
            <w:r w:rsidR="00F55D87">
              <w:rPr>
                <w:rFonts w:ascii="Garamond" w:hAnsi="Garamond"/>
                <w:szCs w:val="28"/>
              </w:rPr>
              <w:t>нерго России № 2 от 09.01.2019)</w:t>
            </w:r>
            <w:r w:rsidR="00F522F2" w:rsidRPr="00F522F2">
              <w:rPr>
                <w:rFonts w:ascii="Garamond" w:hAnsi="Garamond"/>
                <w:szCs w:val="28"/>
              </w:rPr>
              <w:t xml:space="preserve"> </w:t>
            </w:r>
            <w:r w:rsidR="00F522F2">
              <w:rPr>
                <w:rFonts w:ascii="Garamond" w:hAnsi="Garamond"/>
                <w:szCs w:val="28"/>
              </w:rPr>
              <w:t xml:space="preserve">необходимо </w:t>
            </w:r>
            <w:r w:rsidR="00F522F2" w:rsidRPr="00F522F2">
              <w:rPr>
                <w:rFonts w:ascii="Garamond" w:hAnsi="Garamond"/>
                <w:szCs w:val="28"/>
              </w:rPr>
              <w:t xml:space="preserve">уточнить требования к участию генерирующего оборудования тепловых электростанций с </w:t>
            </w:r>
            <w:r w:rsidR="00703854">
              <w:rPr>
                <w:rFonts w:ascii="Garamond" w:hAnsi="Garamond"/>
                <w:szCs w:val="28"/>
              </w:rPr>
              <w:t>турбинами типа «Р» (в том числе</w:t>
            </w:r>
            <w:r w:rsidR="00F522F2" w:rsidRPr="00F522F2">
              <w:rPr>
                <w:rFonts w:ascii="Garamond" w:hAnsi="Garamond"/>
                <w:szCs w:val="28"/>
              </w:rPr>
              <w:t xml:space="preserve"> «ПР», «ТР» и «ПТР») в ОПРЧ.</w:t>
            </w:r>
            <w:r w:rsidR="00F55D87">
              <w:rPr>
                <w:rFonts w:ascii="Garamond" w:hAnsi="Garamond"/>
                <w:szCs w:val="28"/>
              </w:rPr>
              <w:t xml:space="preserve"> </w:t>
            </w:r>
            <w:r w:rsidR="00F55D87" w:rsidRPr="00F522F2">
              <w:rPr>
                <w:rFonts w:ascii="Garamond" w:hAnsi="Garamond"/>
                <w:szCs w:val="28"/>
              </w:rPr>
              <w:t>Требовани</w:t>
            </w:r>
            <w:r w:rsidR="00F55D87">
              <w:rPr>
                <w:rFonts w:ascii="Garamond" w:hAnsi="Garamond"/>
                <w:szCs w:val="28"/>
              </w:rPr>
              <w:t>я</w:t>
            </w:r>
            <w:r w:rsidR="00F55D87" w:rsidRPr="00F522F2">
              <w:rPr>
                <w:rFonts w:ascii="Garamond" w:hAnsi="Garamond"/>
                <w:szCs w:val="28"/>
              </w:rPr>
              <w:t xml:space="preserve"> к участию генерирующего оборудования в общем пе</w:t>
            </w:r>
            <w:r w:rsidR="00703854">
              <w:rPr>
                <w:rFonts w:ascii="Garamond" w:hAnsi="Garamond"/>
                <w:szCs w:val="28"/>
              </w:rPr>
              <w:t>рвичном регулировании частоты (п</w:t>
            </w:r>
            <w:r w:rsidR="00F55D87" w:rsidRPr="00F522F2">
              <w:rPr>
                <w:rFonts w:ascii="Garamond" w:hAnsi="Garamond"/>
                <w:szCs w:val="28"/>
              </w:rPr>
              <w:t>риказ Минэ</w:t>
            </w:r>
            <w:r w:rsidR="00F55D87">
              <w:rPr>
                <w:rFonts w:ascii="Garamond" w:hAnsi="Garamond"/>
                <w:szCs w:val="28"/>
              </w:rPr>
              <w:t>нерго России № 2 от 09.01.2019)</w:t>
            </w:r>
            <w:r w:rsidR="00F55D87" w:rsidRPr="00F522F2">
              <w:rPr>
                <w:rFonts w:ascii="Garamond" w:hAnsi="Garamond"/>
                <w:szCs w:val="28"/>
              </w:rPr>
              <w:t xml:space="preserve"> </w:t>
            </w:r>
            <w:r w:rsidR="00F55D87" w:rsidRPr="00F55D87">
              <w:rPr>
                <w:rFonts w:ascii="Garamond" w:hAnsi="Garamond"/>
                <w:szCs w:val="28"/>
              </w:rPr>
              <w:t xml:space="preserve">вступают в силу с 01.05.2019 (по истечении </w:t>
            </w:r>
            <w:proofErr w:type="spellStart"/>
            <w:r w:rsidR="00F55D87" w:rsidRPr="00F55D87">
              <w:rPr>
                <w:rFonts w:ascii="Garamond" w:hAnsi="Garamond"/>
                <w:szCs w:val="28"/>
              </w:rPr>
              <w:t>трех</w:t>
            </w:r>
            <w:proofErr w:type="spellEnd"/>
            <w:r w:rsidR="00F55D87" w:rsidRPr="00F55D87">
              <w:rPr>
                <w:rFonts w:ascii="Garamond" w:hAnsi="Garamond"/>
                <w:szCs w:val="28"/>
              </w:rPr>
              <w:t xml:space="preserve"> месяцев со </w:t>
            </w:r>
            <w:r w:rsidR="00703854">
              <w:rPr>
                <w:rFonts w:ascii="Garamond" w:hAnsi="Garamond"/>
                <w:szCs w:val="28"/>
              </w:rPr>
              <w:t>дня официального опубликования п</w:t>
            </w:r>
            <w:r w:rsidR="00F55D87" w:rsidRPr="00F55D87">
              <w:rPr>
                <w:rFonts w:ascii="Garamond" w:hAnsi="Garamond"/>
                <w:szCs w:val="28"/>
              </w:rPr>
              <w:t>риказа Минэнерго России – 31.01.2019)</w:t>
            </w:r>
            <w:r w:rsidR="00F55D87">
              <w:rPr>
                <w:rFonts w:ascii="Garamond" w:hAnsi="Garamond"/>
                <w:szCs w:val="28"/>
              </w:rPr>
              <w:t>.</w:t>
            </w:r>
          </w:p>
          <w:p w:rsidR="0099450D" w:rsidRPr="008D0496" w:rsidRDefault="0099450D" w:rsidP="00B859B2">
            <w:pPr>
              <w:widowControl w:val="0"/>
              <w:jc w:val="both"/>
              <w:rPr>
                <w:rFonts w:ascii="Garamond" w:hAnsi="Garamond"/>
              </w:rPr>
            </w:pPr>
            <w:r w:rsidRPr="008D0496">
              <w:rPr>
                <w:rFonts w:ascii="Garamond" w:hAnsi="Garamond"/>
                <w:b/>
                <w:bCs/>
                <w:szCs w:val="28"/>
              </w:rPr>
              <w:t>Дата вступления в силу:</w:t>
            </w:r>
            <w:r w:rsidRPr="008D0496">
              <w:rPr>
                <w:rFonts w:ascii="Garamond" w:hAnsi="Garamond"/>
                <w:bCs/>
                <w:szCs w:val="28"/>
              </w:rPr>
              <w:t xml:space="preserve"> </w:t>
            </w:r>
            <w:r w:rsidR="00232A48">
              <w:rPr>
                <w:rFonts w:ascii="Garamond" w:hAnsi="Garamond"/>
              </w:rPr>
              <w:t xml:space="preserve">1 </w:t>
            </w:r>
            <w:r w:rsidR="00280F7F">
              <w:rPr>
                <w:rFonts w:ascii="Garamond" w:hAnsi="Garamond"/>
              </w:rPr>
              <w:t>ма</w:t>
            </w:r>
            <w:r w:rsidR="00E76F8C">
              <w:rPr>
                <w:rFonts w:ascii="Garamond" w:hAnsi="Garamond"/>
              </w:rPr>
              <w:t>я</w:t>
            </w:r>
            <w:r w:rsidR="00232A48">
              <w:rPr>
                <w:rFonts w:ascii="Garamond" w:hAnsi="Garamond"/>
              </w:rPr>
              <w:t xml:space="preserve"> 2019 года</w:t>
            </w:r>
            <w:r w:rsidRPr="008D0496">
              <w:rPr>
                <w:rFonts w:ascii="Garamond" w:hAnsi="Garamond"/>
                <w:bCs/>
                <w:szCs w:val="28"/>
              </w:rPr>
              <w:t>.</w:t>
            </w:r>
          </w:p>
        </w:tc>
      </w:tr>
    </w:tbl>
    <w:p w:rsidR="00FC0701" w:rsidRDefault="00FC0701" w:rsidP="00FC0701">
      <w:pPr>
        <w:ind w:left="57"/>
        <w:contextualSpacing/>
        <w:jc w:val="right"/>
        <w:rPr>
          <w:sz w:val="22"/>
          <w:szCs w:val="22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  <w:r>
        <w:rPr>
          <w:caps/>
        </w:rPr>
        <w:t>Приложение</w:t>
      </w:r>
      <w:r>
        <w:t xml:space="preserve"> № 15</w:t>
      </w:r>
    </w:p>
    <w:p w:rsidR="00FC0701" w:rsidRDefault="00FC0701" w:rsidP="00FC0701">
      <w:pPr>
        <w:ind w:left="57"/>
        <w:contextualSpacing/>
        <w:jc w:val="right"/>
        <w:rPr>
          <w:lang w:eastAsia="en-US"/>
        </w:rPr>
      </w:pPr>
      <w:r>
        <w:t>к Протоколу № 4-</w:t>
      </w:r>
      <w:r>
        <w:rPr>
          <w:lang w:val="en-US"/>
        </w:rPr>
        <w:t>II</w:t>
      </w:r>
      <w:r>
        <w:t>/2019 заседания Наблюдательного совета</w:t>
      </w:r>
    </w:p>
    <w:p w:rsidR="00FC0701" w:rsidRDefault="00FC0701" w:rsidP="00FC0701">
      <w:pPr>
        <w:widowControl w:val="0"/>
        <w:jc w:val="right"/>
        <w:rPr>
          <w:sz w:val="22"/>
          <w:szCs w:val="22"/>
        </w:rPr>
      </w:pPr>
      <w:r>
        <w:t>Ассоциации «НП Совет рынка» от 25 февраля 2019 года</w:t>
      </w:r>
    </w:p>
    <w:p w:rsidR="0099450D" w:rsidRDefault="0099450D" w:rsidP="00B859B2">
      <w:pPr>
        <w:pStyle w:val="2"/>
        <w:keepNext w:val="0"/>
        <w:widowControl w:val="0"/>
        <w:tabs>
          <w:tab w:val="left" w:pos="2865"/>
        </w:tabs>
        <w:jc w:val="both"/>
        <w:rPr>
          <w:rFonts w:ascii="Garamond" w:hAnsi="Garamond"/>
          <w:b w:val="0"/>
          <w:sz w:val="24"/>
          <w:szCs w:val="24"/>
        </w:rPr>
      </w:pPr>
    </w:p>
    <w:p w:rsidR="00FC0701" w:rsidRDefault="00FC0701" w:rsidP="00FC0701"/>
    <w:p w:rsidR="00FC0701" w:rsidRPr="00FC0701" w:rsidRDefault="00FC0701" w:rsidP="00FC0701"/>
    <w:bookmarkEnd w:id="0"/>
    <w:bookmarkEnd w:id="1"/>
    <w:bookmarkEnd w:id="2"/>
    <w:bookmarkEnd w:id="3"/>
    <w:bookmarkEnd w:id="4"/>
    <w:p w:rsidR="00232BAD" w:rsidRPr="00232BAD" w:rsidRDefault="00232BAD" w:rsidP="00B859B2">
      <w:pPr>
        <w:pStyle w:val="2"/>
        <w:keepNext w:val="0"/>
        <w:widowControl w:val="0"/>
        <w:rPr>
          <w:rFonts w:ascii="Garamond" w:hAnsi="Garamond"/>
          <w:sz w:val="28"/>
          <w:szCs w:val="28"/>
        </w:rPr>
      </w:pPr>
      <w:r w:rsidRPr="00232BAD">
        <w:rPr>
          <w:rFonts w:ascii="Garamond" w:hAnsi="Garamond"/>
          <w:sz w:val="28"/>
          <w:szCs w:val="28"/>
          <w:lang w:val="en-US"/>
        </w:rPr>
        <w:t>VI</w:t>
      </w:r>
      <w:r w:rsidRPr="00232BAD">
        <w:rPr>
          <w:rFonts w:ascii="Garamond" w:hAnsi="Garamond"/>
          <w:sz w:val="28"/>
          <w:szCs w:val="28"/>
        </w:rPr>
        <w:t>.13</w:t>
      </w:r>
      <w:r w:rsidR="00B859B2">
        <w:rPr>
          <w:rFonts w:ascii="Garamond" w:hAnsi="Garamond"/>
          <w:sz w:val="28"/>
          <w:szCs w:val="28"/>
        </w:rPr>
        <w:t>.</w:t>
      </w:r>
      <w:r w:rsidRPr="00232BAD">
        <w:rPr>
          <w:rFonts w:ascii="Garamond" w:hAnsi="Garamond"/>
          <w:sz w:val="28"/>
          <w:szCs w:val="28"/>
        </w:rPr>
        <w:t xml:space="preserve"> Изменения, связанные с уточнением требований к участию генерирующего оборудования в общем первичном регулировании частоты электрического тока</w:t>
      </w:r>
    </w:p>
    <w:p w:rsidR="00232BAD" w:rsidRPr="00232BAD" w:rsidRDefault="00232BAD" w:rsidP="00B859B2">
      <w:pPr>
        <w:widowControl w:val="0"/>
        <w:rPr>
          <w:sz w:val="28"/>
          <w:szCs w:val="28"/>
        </w:rPr>
      </w:pPr>
    </w:p>
    <w:p w:rsidR="00232BAD" w:rsidRPr="00232BAD" w:rsidRDefault="00232BAD" w:rsidP="00B859B2">
      <w:pPr>
        <w:widowControl w:val="0"/>
      </w:pPr>
    </w:p>
    <w:p w:rsidR="0099450D" w:rsidRDefault="0099450D" w:rsidP="00B859B2">
      <w:pPr>
        <w:pStyle w:val="2"/>
        <w:keepNext w:val="0"/>
        <w:widowControl w:val="0"/>
        <w:rPr>
          <w:rFonts w:ascii="Garamond" w:hAnsi="Garamond"/>
          <w:sz w:val="26"/>
          <w:szCs w:val="26"/>
        </w:rPr>
      </w:pPr>
      <w:r w:rsidRPr="00DF7E7D">
        <w:rPr>
          <w:rFonts w:ascii="Garamond" w:hAnsi="Garamond"/>
          <w:sz w:val="26"/>
          <w:szCs w:val="26"/>
        </w:rPr>
        <w:t xml:space="preserve">Предложения по изменениям и дополнениям в </w:t>
      </w:r>
      <w:r w:rsidRPr="00DF7E7D">
        <w:rPr>
          <w:rFonts w:ascii="Garamond" w:hAnsi="Garamond"/>
          <w:sz w:val="26"/>
          <w:szCs w:val="26"/>
          <w:shd w:val="clear" w:color="auto" w:fill="FFFFFF"/>
        </w:rPr>
        <w:t xml:space="preserve">РЕГЛАМЕНТ </w:t>
      </w:r>
      <w:r w:rsidR="00B210E8" w:rsidRPr="00B210E8">
        <w:rPr>
          <w:rFonts w:ascii="Garamond" w:hAnsi="Garamond"/>
          <w:sz w:val="26"/>
          <w:szCs w:val="26"/>
          <w:shd w:val="clear" w:color="auto" w:fill="FFFFFF"/>
        </w:rPr>
        <w:t xml:space="preserve">ОПРЕДЕЛЕНИЯ ОБЪЕМОВ ФАКТИЧЕСКИ ПОСТАВЛЕННОЙ НА ОПТОВЫЙ РЫНОК МОЩНОСТИ </w:t>
      </w:r>
      <w:r w:rsidRPr="00DF7E7D">
        <w:rPr>
          <w:rFonts w:ascii="Garamond" w:hAnsi="Garamond"/>
          <w:sz w:val="26"/>
          <w:szCs w:val="26"/>
        </w:rPr>
        <w:t>(Приложение № 1</w:t>
      </w:r>
      <w:r w:rsidR="00B210E8">
        <w:rPr>
          <w:rFonts w:ascii="Garamond" w:hAnsi="Garamond"/>
          <w:sz w:val="26"/>
          <w:szCs w:val="26"/>
        </w:rPr>
        <w:t>3</w:t>
      </w:r>
      <w:r w:rsidRPr="00DF7E7D">
        <w:rPr>
          <w:rFonts w:ascii="Garamond" w:hAnsi="Garamond"/>
          <w:sz w:val="26"/>
          <w:szCs w:val="26"/>
        </w:rPr>
        <w:t xml:space="preserve"> к Договору о присоединении к торговой системе оптового рынка)</w:t>
      </w:r>
    </w:p>
    <w:p w:rsidR="0099450D" w:rsidRPr="00DF7E7D" w:rsidRDefault="0099450D" w:rsidP="00B859B2">
      <w:pPr>
        <w:widowControl w:val="0"/>
      </w:pPr>
    </w:p>
    <w:tbl>
      <w:tblPr>
        <w:tblW w:w="15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105"/>
        <w:gridCol w:w="7182"/>
      </w:tblGrid>
      <w:tr w:rsidR="0099450D" w:rsidRPr="00703854" w:rsidTr="00E71D56">
        <w:trPr>
          <w:tblHeader/>
        </w:trPr>
        <w:tc>
          <w:tcPr>
            <w:tcW w:w="900" w:type="dxa"/>
            <w:vAlign w:val="center"/>
          </w:tcPr>
          <w:p w:rsidR="0099450D" w:rsidRPr="00703854" w:rsidRDefault="0099450D" w:rsidP="00B859B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03854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99450D" w:rsidRPr="00703854" w:rsidRDefault="0099450D" w:rsidP="00B859B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03854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7105" w:type="dxa"/>
          </w:tcPr>
          <w:p w:rsidR="0099450D" w:rsidRPr="00703854" w:rsidRDefault="0099450D" w:rsidP="00B859B2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03854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99450D" w:rsidRPr="00703854" w:rsidRDefault="0099450D" w:rsidP="00B859B2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03854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182" w:type="dxa"/>
          </w:tcPr>
          <w:p w:rsidR="0099450D" w:rsidRPr="00703854" w:rsidRDefault="0099450D" w:rsidP="00B859B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03854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99450D" w:rsidRPr="00703854" w:rsidRDefault="0099450D" w:rsidP="00B859B2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703854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0503AE" w:rsidRPr="00703854" w:rsidTr="00E71D56">
        <w:trPr>
          <w:trHeight w:val="147"/>
        </w:trPr>
        <w:tc>
          <w:tcPr>
            <w:tcW w:w="900" w:type="dxa"/>
            <w:shd w:val="clear" w:color="auto" w:fill="auto"/>
            <w:vAlign w:val="center"/>
          </w:tcPr>
          <w:p w:rsidR="00DB338F" w:rsidRPr="00703854" w:rsidRDefault="00DB338F" w:rsidP="00B859B2">
            <w:pPr>
              <w:widowControl w:val="0"/>
              <w:jc w:val="center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>3.1.1</w:t>
            </w:r>
          </w:p>
        </w:tc>
        <w:tc>
          <w:tcPr>
            <w:tcW w:w="7105" w:type="dxa"/>
            <w:shd w:val="clear" w:color="auto" w:fill="auto"/>
          </w:tcPr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3.1.1.1. На основе информации, представленной участниками оптового рынка в соответствии с Техническими требованиями, а в случае непредставления (неполного представления) указанной информации на основании имеющихся в распоряжении СО данных регистрируется по каждой единице генерирующего оборудования (ЕГО) участника оптового рынка тип участия генерирующего оборудования в ОПРЧ:</w:t>
            </w:r>
          </w:p>
          <w:p w:rsidR="00DB338F" w:rsidRPr="00703854" w:rsidRDefault="00DB338F" w:rsidP="00703854">
            <w:pPr>
              <w:widowControl w:val="0"/>
              <w:numPr>
                <w:ilvl w:val="0"/>
                <w:numId w:val="11"/>
              </w:numPr>
              <w:spacing w:before="120" w:after="120"/>
              <w:ind w:left="40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«генерирующее оборудование, готовое к участию в ОПРЧ». Указанный тип регистрируется в отношении генерирующего оборудования по умолчанию. Для вновь вводимого (модернизируемого) оборудования тип участия «генерирующее оборудование, готовое к участию в ОПРЧ» 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lastRenderedPageBreak/>
              <w:t xml:space="preserve">может быть зарегистрирован только по результатам испытаний,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проведенных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участником оптового рынка в соответствии с Техническими требованиями;</w:t>
            </w:r>
          </w:p>
          <w:p w:rsidR="00DB338F" w:rsidRPr="00703854" w:rsidRDefault="00DB338F" w:rsidP="00703854">
            <w:pPr>
              <w:widowControl w:val="0"/>
              <w:numPr>
                <w:ilvl w:val="0"/>
                <w:numId w:val="11"/>
              </w:numPr>
              <w:spacing w:before="120" w:after="120"/>
              <w:ind w:left="40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«генерирующее оборудование, не готовое к участию в ОПРЧ». Указанный тип может быть зарегистрирован в отношении ЕГО, ранее имевшей тип «генерирующее оборудование, готовое к участию в ОПРЧ», в следующих случаях:</w:t>
            </w:r>
          </w:p>
          <w:p w:rsidR="00DB338F" w:rsidRPr="00703854" w:rsidRDefault="00DB338F" w:rsidP="00703854">
            <w:pPr>
              <w:pStyle w:val="4"/>
              <w:keepNext w:val="0"/>
              <w:keepLines w:val="0"/>
              <w:widowControl w:val="0"/>
              <w:spacing w:before="120" w:after="120"/>
              <w:ind w:left="709"/>
              <w:jc w:val="both"/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 xml:space="preserve">а) если участник оптового рынка в установленном порядке заявил о неготовности, в </w:t>
            </w:r>
            <w:proofErr w:type="spellStart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. временной, к участию в ОПРЧ данного генерирующего оборудования. Временная неготовность к участию в ОПРЧ регистрируется в течение календарного месяца суммарно по всем периодам неготовности, заявленным участником оптового рынка;</w:t>
            </w:r>
          </w:p>
          <w:p w:rsidR="00DB338F" w:rsidRPr="00703854" w:rsidRDefault="00DB338F" w:rsidP="00703854">
            <w:pPr>
              <w:pStyle w:val="4"/>
              <w:keepNext w:val="0"/>
              <w:keepLines w:val="0"/>
              <w:widowControl w:val="0"/>
              <w:spacing w:before="120" w:after="120"/>
              <w:ind w:left="709"/>
              <w:jc w:val="both"/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 xml:space="preserve">б) если неготовность была выявлена в результате выборочных проверок готовности генерирующего оборудования к участию в ОПРЧ </w:t>
            </w:r>
            <w:proofErr w:type="spellStart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путем</w:t>
            </w:r>
            <w:proofErr w:type="spellEnd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 xml:space="preserve"> проведения испытаний, в </w:t>
            </w:r>
            <w:proofErr w:type="spellStart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. с привлечением специализированных организаций. В таком случае неготовность регистрируется бессрочно, начиная с момента выявления неготовности;</w:t>
            </w:r>
          </w:p>
          <w:p w:rsidR="00DB338F" w:rsidRPr="00703854" w:rsidRDefault="00DB338F" w:rsidP="00703854">
            <w:pPr>
              <w:pStyle w:val="4"/>
              <w:keepNext w:val="0"/>
              <w:keepLines w:val="0"/>
              <w:widowControl w:val="0"/>
              <w:spacing w:before="120" w:after="120"/>
              <w:ind w:left="709"/>
              <w:jc w:val="both"/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в) если при проведении количественной оценки участия генерирующего оборудования в ОПРЧ для случаев значимых отклонений частоты электрического тока, превышающих ±0,2 Гц от номинальной, зарегистрировано неучастие (неудовлетворительное участие) в ОПРЧ за период актуальности типа «генерирующее оборудование, готовое к участию в ОПРЧ». В таком случае неготовность регистрируется бессрочно, начиная с первого числа месяца, следующего за месяцем, в котором было зарегистрировано неучастие (неудовлетворительное участие) в ОПРЧ, кроме случаев, когда готовность была подтверждена по результатам проведения в соответствии с Техническими требованиями проверок готовности генерирующего оборудования к участию в ОПРЧ в месяце, в котором было зарегистрировано неучастие (неудовлетворительное участие) в ОПРЧ;</w:t>
            </w:r>
          </w:p>
          <w:p w:rsidR="00DB338F" w:rsidRPr="00703854" w:rsidRDefault="00DB338F" w:rsidP="00703854">
            <w:pPr>
              <w:pStyle w:val="4"/>
              <w:keepNext w:val="0"/>
              <w:keepLines w:val="0"/>
              <w:widowControl w:val="0"/>
              <w:spacing w:before="120" w:after="120"/>
              <w:ind w:left="709"/>
              <w:jc w:val="both"/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 xml:space="preserve">г) если при проведении качественной оценки участия генерирующего оборудования в ОПРЧ для случаев резких </w:t>
            </w: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lastRenderedPageBreak/>
              <w:t>отклонений частоты в ЕЭС в пределах ±0,1</w:t>
            </w: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sym w:font="Symbol" w:char="F0B8"/>
            </w: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0,2 Гц было выявлено систематическое (более 50% случаев за год при условии наличия достаточной выборочной совокупности) неучастие в ОПРЧ данного оборудования (отсутствие требуемого изменения мощности при указанных отклонениях частоты). В таком случае неготовность регистрируется бессрочно, начиная с первого числа месяца, следующего за месяцем, в котором выявлено систематическое неучастие в ОПРЧ, кроме случаев, когда готовность была подтверждена по результатам проведения в соответствии с Техническими требованиями проверок готовности генерирующего оборудования к участию в ОПРЧ в месяце, в котором было выявлено систематическое неучастие в ОПРЧ.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3.1.1.2. Для генерирующего оборудования, в отношении которого 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бессрочно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регистрируется неготовность к участию в ОПРЧ, тип «генерирующее оборудование, не готовое к участию в ОПРЧ» может быть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изменен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на тип «генерирующее оборудование, готовое к участию в ОПРЧ» по результатам проведения в соответствии с Техническими требованиями проверок готовности генерирующего оборудования к участию в ОПРЧ и представления </w:t>
            </w:r>
            <w:proofErr w:type="gram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в СО</w:t>
            </w:r>
            <w:proofErr w:type="gram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отчета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с результатами указанных проверок. В случае если тип «генерирующее оборудование, не готовое к участию в ОПРЧ» был зарегистрирован на основании проведения в соответствии с настоящим Регламентом количественной или качественной оценки участия генерирующего оборудования в ОПРЧ, то к результатам проверки должно прилагаться экспертное заключение специализированной организации, подтверждающее результаты проверки.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ind w:firstLine="709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СО осуществляет рассмотрение представленного участником оптового рынка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отчета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с результатами проверок готовности генерирующего оборудования к участию в ОПРЧ в течение 15 (пятнадцати) рабочих дней с момента его поступления в СО. При отсутствии замечаний к представленному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отчету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СО уведомляет участника оптового рынка об изменении типа участия в ОПРЧ, в ином случае направляет участнику оптового рынка отказ в изменении типа участия в ОПРЧ. При направлении участником оптового рынка указанного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отчета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не позднее 15 (пятнадцати) рабочих дней до окончания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отчетного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месяца тип «генерирующее оборудование, не готовое к участию в ОПРЧ» подлежит изменению на тип «генерирующее оборудование, готовое к участию в ОПРЧ», начиная с 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lastRenderedPageBreak/>
              <w:t xml:space="preserve">момента поступления в СО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отчета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участника оптового рынка по результатам испытаний, в случае направления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отчета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позднее указанного срока изменение типа участия в ОПРЧ осуществляется с 1 (первого) числа месяца, следующего за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отчетным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3.1.1.3. По завершении согласованных периодов временной неготовности генерирующего оборудования к участию в ОПРЧ проведение проверок готовности генерирующего оборудования к участию в ОПРЧ не требуется.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В согласованный с СО период вывода генерирующего оборудования из ОПРЧ в связи с проведением плановых регламентных ремонтных или профилактических работ на основном или вспомогательном оборудовании для генерирующего оборудования сохраняется тип участия в ОПРЧ «генерирующее оборудование, готовое к участию в ОПРЧ». Для указанного генерирующего оборудования тип участия в ОПРЧ изменяется на тип «генерирующее оборудование, не готовое к участию в ОПРЧ», если с начала календарного года согласованный период вывода генерирующего оборудования из ОПРЧ заявлялся более чем в 300 (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трехстах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) часах.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3.1.1.4. Для </w:t>
            </w:r>
            <w:r w:rsidRPr="00703854">
              <w:rPr>
                <w:rFonts w:ascii="Garamond" w:hAnsi="Garamond" w:cs="Garamond"/>
                <w:color w:val="000000" w:themeColor="text1"/>
                <w:sz w:val="22"/>
                <w:szCs w:val="22"/>
              </w:rPr>
              <w:t xml:space="preserve">генерирующего оборудования тепловых электростанций с турбинами типа 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«Р» (в том числе «ПР», «ТР» и «ПТР»), </w:t>
            </w:r>
            <w:proofErr w:type="spellStart"/>
            <w:r w:rsidRPr="00703854">
              <w:rPr>
                <w:rFonts w:ascii="Garamond" w:hAnsi="Garamond" w:cs="Garamond"/>
                <w:color w:val="000000" w:themeColor="text1"/>
                <w:sz w:val="22"/>
                <w:szCs w:val="22"/>
              </w:rPr>
              <w:t>введенного</w:t>
            </w:r>
            <w:proofErr w:type="spellEnd"/>
            <w:r w:rsidRPr="00703854">
              <w:rPr>
                <w:rFonts w:ascii="Garamond" w:hAnsi="Garamond" w:cs="Garamond"/>
                <w:color w:val="000000" w:themeColor="text1"/>
                <w:sz w:val="22"/>
                <w:szCs w:val="22"/>
              </w:rPr>
              <w:t xml:space="preserve"> в эксплуатацию до </w:t>
            </w:r>
            <w:r w:rsidRPr="00703854">
              <w:rPr>
                <w:rFonts w:ascii="Garamond" w:hAnsi="Garamond" w:cs="Garamond"/>
                <w:color w:val="000000" w:themeColor="text1"/>
                <w:sz w:val="22"/>
                <w:szCs w:val="22"/>
                <w:highlight w:val="yellow"/>
              </w:rPr>
              <w:t xml:space="preserve">вступления в силу Правил технологического функционирования электроэнергетических систем, </w:t>
            </w:r>
            <w:proofErr w:type="spellStart"/>
            <w:r w:rsidRPr="00703854">
              <w:rPr>
                <w:rFonts w:ascii="Garamond" w:hAnsi="Garamond" w:cs="Garamond"/>
                <w:color w:val="000000" w:themeColor="text1"/>
                <w:sz w:val="22"/>
                <w:szCs w:val="22"/>
                <w:highlight w:val="yellow"/>
              </w:rPr>
              <w:t>утвержденных</w:t>
            </w:r>
            <w:proofErr w:type="spellEnd"/>
            <w:r w:rsidRPr="00703854">
              <w:rPr>
                <w:rFonts w:ascii="Garamond" w:hAnsi="Garamond" w:cs="Garamond"/>
                <w:color w:val="000000" w:themeColor="text1"/>
                <w:sz w:val="22"/>
                <w:szCs w:val="22"/>
                <w:highlight w:val="yellow"/>
              </w:rPr>
              <w:t xml:space="preserve"> постановлением Правительства Российской Федерации от 13.08.2018 № 937</w:t>
            </w:r>
            <w:r w:rsidRPr="00703854">
              <w:rPr>
                <w:rFonts w:ascii="Garamond" w:hAnsi="Garamond" w:cs="Garamond"/>
                <w:color w:val="000000" w:themeColor="text1"/>
                <w:sz w:val="22"/>
                <w:szCs w:val="22"/>
              </w:rPr>
              <w:t>,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тип участия генерирующего оборудования в ОПРЧ регистрируется в следующем порядке:</w:t>
            </w:r>
          </w:p>
          <w:p w:rsidR="00DB338F" w:rsidRPr="00703854" w:rsidRDefault="00DB338F" w:rsidP="00703854">
            <w:pPr>
              <w:pStyle w:val="a3"/>
              <w:widowControl w:val="0"/>
              <w:numPr>
                <w:ilvl w:val="0"/>
                <w:numId w:val="12"/>
              </w:numPr>
              <w:tabs>
                <w:tab w:val="num" w:pos="720"/>
              </w:tabs>
              <w:spacing w:before="120" w:after="120"/>
              <w:contextualSpacing w:val="0"/>
              <w:jc w:val="both"/>
              <w:outlineLvl w:val="3"/>
              <w:rPr>
                <w:color w:val="000000" w:themeColor="text1"/>
                <w:szCs w:val="22"/>
                <w:highlight w:val="yellow"/>
              </w:rPr>
            </w:pPr>
            <w:r w:rsidRPr="00703854">
              <w:rPr>
                <w:color w:val="000000" w:themeColor="text1"/>
                <w:szCs w:val="22"/>
                <w:highlight w:val="yellow"/>
              </w:rPr>
              <w:t>до утверждения Минэнерго России Требований к участию генерирующего оборудования в общем первичном регулировании частоты и в течение срока, определяемого указанными Требованиями, регистрируется тип «генерирующее оборудование, не готовое к участию в ОПРЧ», за исключением случаев, когда тип «генерирующее оборудование, готовое к участию в ОПРЧ» присвоен для этого генерирующего оборудования по результатам проведения в соответствии с Техническими требованиями проверок готовности генерирующего оборудования ТЭС к участию в ОПРЧ в порядке, установленном в п. 3.1.1.2 настоящего Регламента;</w:t>
            </w:r>
          </w:p>
          <w:p w:rsidR="00DB338F" w:rsidRPr="00703854" w:rsidRDefault="00DB338F" w:rsidP="00703854">
            <w:pPr>
              <w:pStyle w:val="a3"/>
              <w:widowControl w:val="0"/>
              <w:numPr>
                <w:ilvl w:val="0"/>
                <w:numId w:val="12"/>
              </w:numPr>
              <w:tabs>
                <w:tab w:val="num" w:pos="720"/>
              </w:tabs>
              <w:spacing w:before="120" w:after="120"/>
              <w:contextualSpacing w:val="0"/>
              <w:jc w:val="both"/>
              <w:outlineLvl w:val="3"/>
              <w:rPr>
                <w:color w:val="000000" w:themeColor="text1"/>
                <w:szCs w:val="22"/>
                <w:highlight w:val="yellow"/>
              </w:rPr>
            </w:pPr>
            <w:r w:rsidRPr="00703854">
              <w:rPr>
                <w:color w:val="000000" w:themeColor="text1"/>
                <w:szCs w:val="22"/>
                <w:highlight w:val="yellow"/>
              </w:rPr>
              <w:t xml:space="preserve">после утверждения Минэнерго России Требований к участию генерирующего оборудования в общем первичном регулировании </w:t>
            </w:r>
            <w:r w:rsidRPr="00703854">
              <w:rPr>
                <w:color w:val="000000" w:themeColor="text1"/>
                <w:szCs w:val="22"/>
                <w:highlight w:val="yellow"/>
              </w:rPr>
              <w:lastRenderedPageBreak/>
              <w:t>частоты и окончания определяемого ими срока тип «генерирующее оборудование, не готовое к участию в ОПРЧ» регистрируется при оформлении владельцем для этого генерирующего оборудования решения об отсутствии технической возможности участия в ОПРЧ, согласованного с СО в порядке, установленном указанными требованиями, за исключением случаев, когда тип «генерирующее оборудование, готовое к участию в ОПРЧ» присвоен для этого генерирующего оборудования по результатам проведения в соответствии с Техническими требованиями проверок готовности генерирующего оборудования ТЭС к участию в ОПРЧ в порядке, установленном в п. 3.1.1.2 настоящего Регламента. В случае если для этого генерирующего оборудования не зарегистрирован ни один из типов участия генерирующего оборудования в ОПРЧ, при определении интегрального (за месяц) показателя участия в ОПРЧ в соответствии с п. 3.1.2 настоящего Регламента для данного оборудования регистрируется «участие, не соответствующее Техническим требованиям» до момента регистрации какого-либо из типов участия генерирующего оборудования в ОПРЧ.</w:t>
            </w:r>
          </w:p>
          <w:p w:rsidR="00DB338F" w:rsidRPr="00703854" w:rsidRDefault="00DB338F" w:rsidP="00703854">
            <w:pPr>
              <w:pStyle w:val="4"/>
              <w:keepNext w:val="0"/>
              <w:keepLines w:val="0"/>
              <w:widowControl w:val="0"/>
              <w:tabs>
                <w:tab w:val="num" w:pos="4439"/>
              </w:tabs>
              <w:spacing w:before="120" w:after="120"/>
              <w:jc w:val="both"/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3.1.1.</w:t>
            </w: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  <w:highlight w:val="yellow"/>
              </w:rPr>
              <w:t>5.</w:t>
            </w: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 xml:space="preserve"> СО осуществляет регистрацию и формирует данные о случаях участия/неучастия (участия, не соответствующего Техническим требованиям) генерирующего оборудования в ОПРЧ на основании данных систем мониторинга участия в ОПРЧ генерирующего оборудования, действующих на основе ОИК СО или иных специализированных систем СО в соответствии с Техническими требованиями, а также расследования случаев значимого изменения частоты электрического тока (превышающих ±0,2 Гц).</w:t>
            </w:r>
          </w:p>
          <w:p w:rsidR="00DB338F" w:rsidRPr="00703854" w:rsidRDefault="00DB338F" w:rsidP="00703854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</w:p>
        </w:tc>
        <w:tc>
          <w:tcPr>
            <w:tcW w:w="7182" w:type="dxa"/>
            <w:shd w:val="clear" w:color="auto" w:fill="auto"/>
          </w:tcPr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lastRenderedPageBreak/>
              <w:t>3.1.1.1. На основе информации, представленной участниками оптового рынка в соответствии с Техническими требованиями, а в случае непредставления (неполного представления) указанной информации на основании имеющихся в распоряжении СО данных регистрируется по каждой единице генерирующего оборудования (ЕГО) участника оптового рынка тип участия генерирующего оборудования в ОПРЧ:</w:t>
            </w:r>
          </w:p>
          <w:p w:rsidR="00DB338F" w:rsidRPr="00703854" w:rsidRDefault="00DB338F" w:rsidP="00703854">
            <w:pPr>
              <w:widowControl w:val="0"/>
              <w:numPr>
                <w:ilvl w:val="0"/>
                <w:numId w:val="11"/>
              </w:numPr>
              <w:spacing w:before="120" w:after="120"/>
              <w:ind w:left="40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«генерирующее оборудование, готовое к участию в ОПРЧ». Указанный тип регистрируется в отношении генерирующего оборудования по умолчанию</w:t>
            </w:r>
            <w:r w:rsidR="001E3D65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, с </w:t>
            </w:r>
            <w:proofErr w:type="spellStart"/>
            <w:r w:rsidR="001E3D65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учетом</w:t>
            </w:r>
            <w:proofErr w:type="spellEnd"/>
            <w:r w:rsidR="001E3D65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особенностей</w:t>
            </w:r>
            <w:r w:rsidR="00E23F88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,</w:t>
            </w:r>
            <w:r w:rsidR="001E3D65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предусмотренных для </w:t>
            </w:r>
            <w:r w:rsidR="001E3D65" w:rsidRPr="00703854">
              <w:rPr>
                <w:rFonts w:ascii="Garamond" w:hAnsi="Garamond" w:cs="Garamond"/>
                <w:color w:val="000000" w:themeColor="text1"/>
                <w:sz w:val="22"/>
                <w:szCs w:val="22"/>
                <w:highlight w:val="yellow"/>
              </w:rPr>
              <w:t xml:space="preserve">генерирующего оборудования тепловых электростанций с турбинами </w:t>
            </w:r>
            <w:r w:rsidR="001E3D65" w:rsidRPr="00703854">
              <w:rPr>
                <w:rFonts w:ascii="Garamond" w:hAnsi="Garamond" w:cs="Garamond"/>
                <w:color w:val="000000" w:themeColor="text1"/>
                <w:sz w:val="22"/>
                <w:szCs w:val="22"/>
                <w:highlight w:val="yellow"/>
              </w:rPr>
              <w:lastRenderedPageBreak/>
              <w:t xml:space="preserve">типа </w:t>
            </w:r>
            <w:r w:rsidR="001E3D65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«Р» (в том числе «ПР», «ТР» и «ПТР»), </w:t>
            </w:r>
            <w:proofErr w:type="spellStart"/>
            <w:r w:rsidR="001E3D65" w:rsidRPr="00703854">
              <w:rPr>
                <w:rFonts w:ascii="Garamond" w:hAnsi="Garamond" w:cs="Garamond"/>
                <w:color w:val="000000" w:themeColor="text1"/>
                <w:sz w:val="22"/>
                <w:szCs w:val="22"/>
                <w:highlight w:val="yellow"/>
              </w:rPr>
              <w:t>введенного</w:t>
            </w:r>
            <w:proofErr w:type="spellEnd"/>
            <w:r w:rsidR="001E3D65" w:rsidRPr="00703854">
              <w:rPr>
                <w:rFonts w:ascii="Garamond" w:hAnsi="Garamond" w:cs="Garamond"/>
                <w:color w:val="000000" w:themeColor="text1"/>
                <w:sz w:val="22"/>
                <w:szCs w:val="22"/>
                <w:highlight w:val="yellow"/>
              </w:rPr>
              <w:t xml:space="preserve"> в эксплуатацию до 16.08.2018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. Для вновь вводимого (модернизируемого) оборудования тип участия «генерирующее оборудование, готовое к участию в ОПРЧ» может быть зарегистрирован только по результатам испытаний,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проведенных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участником оптового рынка в соответствии с Техническими требованиями;</w:t>
            </w:r>
          </w:p>
          <w:p w:rsidR="00DB338F" w:rsidRPr="00703854" w:rsidRDefault="00DB338F" w:rsidP="00703854">
            <w:pPr>
              <w:widowControl w:val="0"/>
              <w:numPr>
                <w:ilvl w:val="0"/>
                <w:numId w:val="11"/>
              </w:numPr>
              <w:spacing w:before="120" w:after="120"/>
              <w:ind w:left="404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«генерирующее оборудование, не готовое к участию в ОПРЧ». Указанный тип может быть зарегистрирован в отношении ЕГО, ранее имевшей тип «генерирующее оборудование, готовое к участию в ОПРЧ», в следующих случаях:</w:t>
            </w:r>
          </w:p>
          <w:p w:rsidR="00DB338F" w:rsidRPr="00703854" w:rsidRDefault="00DB338F" w:rsidP="00703854">
            <w:pPr>
              <w:pStyle w:val="4"/>
              <w:keepNext w:val="0"/>
              <w:keepLines w:val="0"/>
              <w:widowControl w:val="0"/>
              <w:spacing w:before="120" w:after="120"/>
              <w:ind w:left="709"/>
              <w:jc w:val="both"/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 xml:space="preserve">а) если участник оптового рынка в установленном порядке заявил о неготовности, в </w:t>
            </w:r>
            <w:proofErr w:type="spellStart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. временной, к участию в ОПРЧ данного генерирующего оборудования. Временная неготовность к участию в ОПРЧ регистрируется в течение календарного месяца суммарно по всем периодам неготовности, заявленным участником оптового рынка;</w:t>
            </w:r>
          </w:p>
          <w:p w:rsidR="00DB338F" w:rsidRPr="00703854" w:rsidRDefault="00DB338F" w:rsidP="00703854">
            <w:pPr>
              <w:pStyle w:val="4"/>
              <w:keepNext w:val="0"/>
              <w:keepLines w:val="0"/>
              <w:widowControl w:val="0"/>
              <w:spacing w:before="120" w:after="120"/>
              <w:ind w:left="709"/>
              <w:jc w:val="both"/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 xml:space="preserve">б) если неготовность была выявлена в результате выборочных проверок готовности генерирующего оборудования к участию в ОПРЧ </w:t>
            </w:r>
            <w:proofErr w:type="spellStart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путем</w:t>
            </w:r>
            <w:proofErr w:type="spellEnd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 xml:space="preserve"> проведения испытаний, в </w:t>
            </w:r>
            <w:proofErr w:type="spellStart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. с привлечением специализированных организаций. В таком случае неготовность регистрируется бессрочно, начиная с момента выявления неготовности;</w:t>
            </w:r>
          </w:p>
          <w:p w:rsidR="00DB338F" w:rsidRPr="00703854" w:rsidRDefault="00DB338F" w:rsidP="00703854">
            <w:pPr>
              <w:pStyle w:val="4"/>
              <w:keepNext w:val="0"/>
              <w:keepLines w:val="0"/>
              <w:widowControl w:val="0"/>
              <w:spacing w:before="120" w:after="120"/>
              <w:ind w:left="709"/>
              <w:jc w:val="both"/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 xml:space="preserve">в) если при проведении количественной оценки участия генерирующего оборудования в ОПРЧ для случаев значимых отклонений частоты электрического тока, превышающих ±0,2 Гц от номинальной, зарегистрировано неучастие (неудовлетворительное участие) в ОПРЧ за период актуальности типа «генерирующее оборудование, готовое к участию в ОПРЧ». В таком случае неготовность регистрируется бессрочно, начиная с первого числа месяца, следующего за месяцем, в котором было зарегистрировано неучастие (неудовлетворительное участие) в ОПРЧ, кроме случаев, когда готовность была подтверждена по результатам проведения в соответствии с Техническими требованиями проверок готовности генерирующего оборудования к участию в ОПРЧ в месяце, в котором было зарегистрировано неучастие (неудовлетворительное </w:t>
            </w: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lastRenderedPageBreak/>
              <w:t>участие) в ОПРЧ;</w:t>
            </w:r>
          </w:p>
          <w:p w:rsidR="003A662A" w:rsidRPr="00703854" w:rsidRDefault="00DB338F" w:rsidP="00703854">
            <w:pPr>
              <w:pStyle w:val="4"/>
              <w:keepNext w:val="0"/>
              <w:keepLines w:val="0"/>
              <w:widowControl w:val="0"/>
              <w:spacing w:before="120" w:after="120"/>
              <w:ind w:left="709"/>
              <w:jc w:val="both"/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г) если при проведении качественной оценки участия генерирующего оборудования в ОПРЧ для случаев резких отклонений частоты в ЕЭС в пределах ±0,1</w:t>
            </w: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sym w:font="Symbol" w:char="F0B8"/>
            </w: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0,2 Гц было выявлено систематическое (более 50% случаев за год при условии наличия достаточной выборочной совокупности) неучастие в ОПРЧ данного оборудования (отсутствие требуемого изменения мощности при указанных отклонениях частоты). В таком случае неготовность регистрируется бессрочно, начиная с первого числа месяца, следующего за месяцем, в котором выявлено систематическое неучастие в ОПРЧ, кроме случаев, когда готовность была подтверждена по результатам проведения в соответствии с Техническими требованиями проверок готовности генерирующего оборудования к участию в ОПРЧ в месяце, в котором было выявлено систематическое неучастие в ОПРЧ</w:t>
            </w:r>
            <w:r w:rsidR="003A662A"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  <w:t>;</w:t>
            </w:r>
          </w:p>
          <w:p w:rsidR="00DB338F" w:rsidRPr="00703854" w:rsidRDefault="003A662A" w:rsidP="00703854">
            <w:pPr>
              <w:pStyle w:val="4"/>
              <w:keepNext w:val="0"/>
              <w:keepLines w:val="0"/>
              <w:widowControl w:val="0"/>
              <w:spacing w:before="120" w:after="120"/>
              <w:ind w:left="709"/>
              <w:jc w:val="both"/>
              <w:rPr>
                <w:rFonts w:ascii="Garamond" w:hAnsi="Garamond"/>
                <w:i w:val="0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  <w:highlight w:val="yellow"/>
              </w:rPr>
              <w:t xml:space="preserve">д) если для вновь вводимого (модернизируемого) оборудования не была подтверждена готовность к участию в ОПРЧ по результатам испытаний, </w:t>
            </w:r>
            <w:proofErr w:type="spellStart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  <w:highlight w:val="yellow"/>
              </w:rPr>
              <w:t>проведенных</w:t>
            </w:r>
            <w:proofErr w:type="spellEnd"/>
            <w:r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  <w:highlight w:val="yellow"/>
              </w:rPr>
              <w:t xml:space="preserve"> участником оптового рынка в соответствии с Техническими требованиями</w:t>
            </w:r>
            <w:r w:rsidR="00DB338F" w:rsidRPr="00703854">
              <w:rPr>
                <w:rFonts w:ascii="Garamond" w:hAnsi="Garamond"/>
                <w:i w:val="0"/>
                <w:color w:val="000000" w:themeColor="text1"/>
                <w:sz w:val="22"/>
                <w:szCs w:val="22"/>
                <w:highlight w:val="yellow"/>
              </w:rPr>
              <w:t>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3.1.1.2. Для генерирующего оборудования, в отношении которого регистрируется неготовность к участию в ОПРЧ, тип «генерирующее оборудование, не готовое к участию в ОПРЧ» может быть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изменен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на тип «генерирующее оборудование, готовое к участию в ОПРЧ» по результатам проведения в соответствии с Техническими требованиями проверок готовности генерирующего оборудования к участию в ОПРЧ и представления </w:t>
            </w:r>
            <w:proofErr w:type="gram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в СО</w:t>
            </w:r>
            <w:proofErr w:type="gram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отчета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с результатами указанных проверок. В случае если тип «генерирующее оборудование, не готовое к участию в ОПРЧ» был зарегистрирован на основании проведения в соответствии с настоящим Регламентом количественной или качественной оценки участия генерирующего оборудования в ОПРЧ, то к результатам проверки должно прилагаться экспертное заключение специализированной организации, подтверждающее результаты проверки.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ind w:firstLine="709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СО осуществляет рассмотрение представленного участником оптового рынка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отчета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с результатами проверок готовности генерирующего оборудования к участию в ОПРЧ в течение 15 (пятнадцати) рабочих дней с 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lastRenderedPageBreak/>
              <w:t xml:space="preserve">момента его поступления в СО. При отсутствии замечаний к представленному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отчету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СО уведомляет участника оптового рынка об изменении типа участия в ОПРЧ, в ином случае направляет участнику оптового рынка отказ в изменении типа участия в ОПРЧ. При направлении участником оптового рынка указанного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отчета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не позднее 15 (пятнадцати) рабочих дней до окончания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отчетного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месяца тип «генерирующее оборудование, не готовое к участию в ОПРЧ» подлежит изменению на тип «генерирующее оборудование, готовое к участию в ОПРЧ», начиная с момента поступления в СО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отчета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участника оптового рынка по результатам испытаний, в случае направления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отчета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позднее указанного срока изменение типа участия в ОПРЧ осуществляется с 1 (первого) числа месяца, следующего за 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отчетным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3.1.1.3. По завершении согласованных периодов временной неготовности генерирующего оборудования к участию в ОПРЧ проведение проверок готовности генерирующего оборудования к участию в ОПРЧ не требуется.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В согласованный с СО период вывода генерирующего оборудования из ОПРЧ в связи с проведением плановых регламентных ремонтных или профилактических работ на основном или вспомогательном оборудовании для генерирующего оборудования сохраняется тип участия в ОПРЧ «генерирующее оборудование, готовое к участию в ОПРЧ». Для указанного генерирующего оборудования тип участия в ОПРЧ изменяется на тип «генерирующее оборудование, не готовое к участию в ОПРЧ», если с начала календарного года согласованный период вывода генерирующего оборудования из ОПРЧ заявлялся более чем в 300 (</w:t>
            </w:r>
            <w:proofErr w:type="spellStart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трехстах</w:t>
            </w:r>
            <w:proofErr w:type="spellEnd"/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) часах.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3.1.1.4. Для </w:t>
            </w:r>
            <w:r w:rsidRPr="00703854">
              <w:rPr>
                <w:rFonts w:ascii="Garamond" w:hAnsi="Garamond" w:cs="Garamond"/>
                <w:color w:val="000000" w:themeColor="text1"/>
                <w:sz w:val="22"/>
                <w:szCs w:val="22"/>
              </w:rPr>
              <w:t xml:space="preserve">генерирующего оборудования тепловых электростанций с турбинами типа 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«Р» (в том числе «ПР», «ТР» и «ПТР»), </w:t>
            </w:r>
            <w:proofErr w:type="spellStart"/>
            <w:r w:rsidRPr="00703854">
              <w:rPr>
                <w:rFonts w:ascii="Garamond" w:hAnsi="Garamond" w:cs="Garamond"/>
                <w:color w:val="000000" w:themeColor="text1"/>
                <w:sz w:val="22"/>
                <w:szCs w:val="22"/>
              </w:rPr>
              <w:t>введенного</w:t>
            </w:r>
            <w:proofErr w:type="spellEnd"/>
            <w:r w:rsidRPr="00703854">
              <w:rPr>
                <w:rFonts w:ascii="Garamond" w:hAnsi="Garamond" w:cs="Garamond"/>
                <w:color w:val="000000" w:themeColor="text1"/>
                <w:sz w:val="22"/>
                <w:szCs w:val="22"/>
              </w:rPr>
              <w:t xml:space="preserve"> в эксплуатацию до </w:t>
            </w:r>
            <w:r w:rsidR="00A423B3" w:rsidRPr="00703854">
              <w:rPr>
                <w:rFonts w:ascii="Garamond" w:hAnsi="Garamond" w:cs="Garamond"/>
                <w:color w:val="000000" w:themeColor="text1"/>
                <w:sz w:val="22"/>
                <w:szCs w:val="22"/>
                <w:highlight w:val="yellow"/>
              </w:rPr>
              <w:t>16.08.2018</w:t>
            </w:r>
            <w:r w:rsidRPr="00703854">
              <w:rPr>
                <w:rFonts w:ascii="Garamond" w:hAnsi="Garamond" w:cs="Garamond"/>
                <w:color w:val="000000" w:themeColor="text1"/>
                <w:sz w:val="22"/>
                <w:szCs w:val="22"/>
              </w:rPr>
              <w:t>,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тип участия генерирующего оборудования в ОПРЧ регистрируется в следующем порядке:</w:t>
            </w:r>
          </w:p>
          <w:p w:rsidR="001E3D65" w:rsidRPr="00703854" w:rsidRDefault="001E3D65" w:rsidP="00703854">
            <w:pPr>
              <w:pStyle w:val="a3"/>
              <w:widowControl w:val="0"/>
              <w:numPr>
                <w:ilvl w:val="0"/>
                <w:numId w:val="12"/>
              </w:numPr>
              <w:tabs>
                <w:tab w:val="num" w:pos="720"/>
              </w:tabs>
              <w:spacing w:before="120" w:after="120"/>
              <w:contextualSpacing w:val="0"/>
              <w:jc w:val="both"/>
              <w:outlineLvl w:val="3"/>
              <w:rPr>
                <w:color w:val="000000" w:themeColor="text1"/>
                <w:szCs w:val="22"/>
                <w:highlight w:val="yellow"/>
              </w:rPr>
            </w:pPr>
            <w:r w:rsidRPr="00703854">
              <w:rPr>
                <w:color w:val="000000" w:themeColor="text1"/>
                <w:szCs w:val="22"/>
                <w:highlight w:val="yellow"/>
              </w:rPr>
              <w:t>до 01.</w:t>
            </w:r>
            <w:r w:rsidR="00185FDB" w:rsidRPr="00703854">
              <w:rPr>
                <w:color w:val="000000" w:themeColor="text1"/>
                <w:szCs w:val="22"/>
                <w:highlight w:val="yellow"/>
                <w:lang w:val="en-US"/>
              </w:rPr>
              <w:t>05</w:t>
            </w:r>
            <w:r w:rsidRPr="00703854">
              <w:rPr>
                <w:color w:val="000000" w:themeColor="text1"/>
                <w:szCs w:val="22"/>
                <w:highlight w:val="yellow"/>
              </w:rPr>
              <w:t>.2019:</w:t>
            </w:r>
          </w:p>
          <w:p w:rsidR="001E3D65" w:rsidRPr="00703854" w:rsidRDefault="001E3D65" w:rsidP="00703854">
            <w:pPr>
              <w:pStyle w:val="a3"/>
              <w:widowControl w:val="0"/>
              <w:numPr>
                <w:ilvl w:val="0"/>
                <w:numId w:val="15"/>
              </w:numPr>
              <w:tabs>
                <w:tab w:val="num" w:pos="1025"/>
              </w:tabs>
              <w:spacing w:before="120" w:after="120"/>
              <w:ind w:left="1025" w:hanging="283"/>
              <w:contextualSpacing w:val="0"/>
              <w:jc w:val="both"/>
              <w:outlineLvl w:val="3"/>
              <w:rPr>
                <w:color w:val="000000" w:themeColor="text1"/>
                <w:szCs w:val="22"/>
                <w:highlight w:val="yellow"/>
              </w:rPr>
            </w:pPr>
            <w:r w:rsidRPr="00703854">
              <w:rPr>
                <w:color w:val="000000" w:themeColor="text1"/>
                <w:szCs w:val="22"/>
                <w:highlight w:val="yellow"/>
              </w:rPr>
              <w:t>если по результатам проведения в соответствии с Техническими требованиями проверок готовности генерирующего оборудования ТЭС к участию в ОПРЧ в порядке, установленном в п. 3.1.1.2 настоящего Регламента, подтверждена готовность к участию в ОПРЧ</w:t>
            </w:r>
            <w:r w:rsidR="000D09BD" w:rsidRPr="00703854">
              <w:rPr>
                <w:color w:val="000000" w:themeColor="text1"/>
                <w:szCs w:val="22"/>
                <w:highlight w:val="yellow"/>
              </w:rPr>
              <w:t>,</w:t>
            </w:r>
            <w:r w:rsidRPr="00703854">
              <w:rPr>
                <w:color w:val="000000" w:themeColor="text1"/>
                <w:szCs w:val="22"/>
                <w:highlight w:val="yellow"/>
              </w:rPr>
              <w:t xml:space="preserve"> регистрируется тип «генерирующее оборудование, готовое к участию в ОПРЧ». Оценка участи</w:t>
            </w:r>
            <w:r w:rsidR="006A25FB" w:rsidRPr="00703854">
              <w:rPr>
                <w:color w:val="000000" w:themeColor="text1"/>
                <w:szCs w:val="22"/>
                <w:highlight w:val="yellow"/>
              </w:rPr>
              <w:t>я</w:t>
            </w:r>
            <w:r w:rsidRPr="00703854">
              <w:rPr>
                <w:color w:val="000000" w:themeColor="text1"/>
                <w:szCs w:val="22"/>
                <w:highlight w:val="yellow"/>
              </w:rPr>
              <w:t xml:space="preserve"> в </w:t>
            </w:r>
            <w:r w:rsidRPr="00703854">
              <w:rPr>
                <w:color w:val="000000" w:themeColor="text1"/>
                <w:szCs w:val="22"/>
                <w:highlight w:val="yellow"/>
              </w:rPr>
              <w:lastRenderedPageBreak/>
              <w:t>ОПРЧ осуществляется в общем порядке;</w:t>
            </w:r>
          </w:p>
          <w:p w:rsidR="001E3D65" w:rsidRPr="00703854" w:rsidRDefault="001E3D65" w:rsidP="00703854">
            <w:pPr>
              <w:pStyle w:val="a3"/>
              <w:widowControl w:val="0"/>
              <w:numPr>
                <w:ilvl w:val="0"/>
                <w:numId w:val="15"/>
              </w:numPr>
              <w:tabs>
                <w:tab w:val="num" w:pos="1025"/>
              </w:tabs>
              <w:spacing w:before="120" w:after="120"/>
              <w:ind w:left="1025" w:hanging="283"/>
              <w:contextualSpacing w:val="0"/>
              <w:jc w:val="both"/>
              <w:outlineLvl w:val="3"/>
              <w:rPr>
                <w:color w:val="000000" w:themeColor="text1"/>
                <w:szCs w:val="22"/>
                <w:highlight w:val="yellow"/>
              </w:rPr>
            </w:pPr>
            <w:r w:rsidRPr="00703854">
              <w:rPr>
                <w:color w:val="000000" w:themeColor="text1"/>
                <w:szCs w:val="22"/>
                <w:highlight w:val="yellow"/>
              </w:rPr>
              <w:t>для остального генерирующего оборудования регистрируется тип «генерирующее оборудование, не готовое к участию в ОПРЧ»;</w:t>
            </w:r>
          </w:p>
          <w:p w:rsidR="003677AA" w:rsidRPr="00703854" w:rsidRDefault="001E3D65" w:rsidP="00703854">
            <w:pPr>
              <w:pStyle w:val="a3"/>
              <w:widowControl w:val="0"/>
              <w:numPr>
                <w:ilvl w:val="0"/>
                <w:numId w:val="12"/>
              </w:numPr>
              <w:tabs>
                <w:tab w:val="num" w:pos="720"/>
              </w:tabs>
              <w:spacing w:before="120" w:after="120"/>
              <w:contextualSpacing w:val="0"/>
              <w:jc w:val="both"/>
              <w:outlineLvl w:val="3"/>
              <w:rPr>
                <w:color w:val="000000" w:themeColor="text1"/>
                <w:szCs w:val="22"/>
                <w:highlight w:val="yellow"/>
              </w:rPr>
            </w:pPr>
            <w:r w:rsidRPr="00703854">
              <w:rPr>
                <w:color w:val="000000" w:themeColor="text1"/>
                <w:szCs w:val="22"/>
                <w:highlight w:val="yellow"/>
              </w:rPr>
              <w:t>после 01.</w:t>
            </w:r>
            <w:r w:rsidR="00185FDB" w:rsidRPr="00703854">
              <w:rPr>
                <w:color w:val="000000" w:themeColor="text1"/>
                <w:szCs w:val="22"/>
                <w:highlight w:val="yellow"/>
                <w:lang w:val="en-US"/>
              </w:rPr>
              <w:t>05</w:t>
            </w:r>
            <w:r w:rsidRPr="00703854">
              <w:rPr>
                <w:color w:val="000000" w:themeColor="text1"/>
                <w:szCs w:val="22"/>
                <w:highlight w:val="yellow"/>
              </w:rPr>
              <w:t>.2019</w:t>
            </w:r>
            <w:r w:rsidR="003677AA" w:rsidRPr="00703854">
              <w:rPr>
                <w:color w:val="000000" w:themeColor="text1"/>
                <w:szCs w:val="22"/>
                <w:highlight w:val="yellow"/>
              </w:rPr>
              <w:t>:</w:t>
            </w:r>
          </w:p>
          <w:p w:rsidR="00DB338F" w:rsidRPr="00703854" w:rsidRDefault="001E3D65" w:rsidP="00703854">
            <w:pPr>
              <w:pStyle w:val="a3"/>
              <w:widowControl w:val="0"/>
              <w:numPr>
                <w:ilvl w:val="0"/>
                <w:numId w:val="15"/>
              </w:numPr>
              <w:tabs>
                <w:tab w:val="num" w:pos="1025"/>
              </w:tabs>
              <w:spacing w:before="120" w:after="120"/>
              <w:ind w:left="1025" w:hanging="283"/>
              <w:contextualSpacing w:val="0"/>
              <w:jc w:val="both"/>
              <w:outlineLvl w:val="3"/>
              <w:rPr>
                <w:color w:val="000000" w:themeColor="text1"/>
                <w:szCs w:val="22"/>
                <w:highlight w:val="yellow"/>
              </w:rPr>
            </w:pPr>
            <w:r w:rsidRPr="00703854">
              <w:rPr>
                <w:color w:val="000000" w:themeColor="text1"/>
                <w:szCs w:val="22"/>
                <w:highlight w:val="yellow"/>
              </w:rPr>
              <w:t>если по результатам проведения в соответствии с Техническими требованиями проверок готовности генерирующего оборудования ТЭС к участию в ОПРЧ в порядке, установленном в п. 3.1.1.2 настоящего Регламента, подтверждена готовность к участию в ОПРЧ</w:t>
            </w:r>
            <w:r w:rsidR="000D09BD" w:rsidRPr="00703854">
              <w:rPr>
                <w:color w:val="000000" w:themeColor="text1"/>
                <w:szCs w:val="22"/>
                <w:highlight w:val="yellow"/>
              </w:rPr>
              <w:t>,</w:t>
            </w:r>
            <w:r w:rsidRPr="00703854">
              <w:rPr>
                <w:color w:val="000000" w:themeColor="text1"/>
                <w:szCs w:val="22"/>
                <w:highlight w:val="yellow"/>
              </w:rPr>
              <w:t xml:space="preserve"> регистрируется тип «генерирующее оборудование, готовое к участию в ОПРЧ». Оценка участи</w:t>
            </w:r>
            <w:r w:rsidR="006A25FB" w:rsidRPr="00703854">
              <w:rPr>
                <w:color w:val="000000" w:themeColor="text1"/>
                <w:szCs w:val="22"/>
                <w:highlight w:val="yellow"/>
              </w:rPr>
              <w:t>я</w:t>
            </w:r>
            <w:r w:rsidRPr="00703854">
              <w:rPr>
                <w:color w:val="000000" w:themeColor="text1"/>
                <w:szCs w:val="22"/>
                <w:highlight w:val="yellow"/>
              </w:rPr>
              <w:t xml:space="preserve"> в ОПРЧ осуществляется в общем порядке;</w:t>
            </w:r>
          </w:p>
          <w:p w:rsidR="001E3D65" w:rsidRPr="00703854" w:rsidRDefault="001E3D65" w:rsidP="00703854">
            <w:pPr>
              <w:pStyle w:val="a3"/>
              <w:widowControl w:val="0"/>
              <w:numPr>
                <w:ilvl w:val="0"/>
                <w:numId w:val="15"/>
              </w:numPr>
              <w:tabs>
                <w:tab w:val="num" w:pos="1025"/>
              </w:tabs>
              <w:spacing w:before="120" w:after="120"/>
              <w:ind w:left="1025" w:hanging="283"/>
              <w:contextualSpacing w:val="0"/>
              <w:jc w:val="both"/>
              <w:outlineLvl w:val="3"/>
              <w:rPr>
                <w:color w:val="000000" w:themeColor="text1"/>
                <w:szCs w:val="22"/>
                <w:highlight w:val="yellow"/>
              </w:rPr>
            </w:pPr>
            <w:r w:rsidRPr="00703854">
              <w:rPr>
                <w:color w:val="000000" w:themeColor="text1"/>
                <w:szCs w:val="22"/>
                <w:highlight w:val="yellow"/>
              </w:rPr>
              <w:t xml:space="preserve">если участником </w:t>
            </w:r>
            <w:r w:rsidR="00EE56DD" w:rsidRPr="00703854">
              <w:rPr>
                <w:color w:val="000000" w:themeColor="text1"/>
                <w:szCs w:val="22"/>
                <w:highlight w:val="yellow"/>
              </w:rPr>
              <w:t>оптового рынка</w:t>
            </w:r>
            <w:r w:rsidR="00DB338F" w:rsidRPr="00703854">
              <w:rPr>
                <w:color w:val="000000" w:themeColor="text1"/>
                <w:szCs w:val="22"/>
                <w:highlight w:val="yellow"/>
              </w:rPr>
              <w:t xml:space="preserve"> </w:t>
            </w:r>
            <w:r w:rsidRPr="00703854">
              <w:rPr>
                <w:color w:val="000000" w:themeColor="text1"/>
                <w:szCs w:val="22"/>
                <w:highlight w:val="yellow"/>
              </w:rPr>
              <w:t>оформлен</w:t>
            </w:r>
            <w:r w:rsidR="00EE56DD" w:rsidRPr="00703854">
              <w:rPr>
                <w:color w:val="000000" w:themeColor="text1"/>
                <w:szCs w:val="22"/>
                <w:highlight w:val="yellow"/>
              </w:rPr>
              <w:t>о</w:t>
            </w:r>
            <w:r w:rsidRPr="00703854">
              <w:rPr>
                <w:color w:val="000000" w:themeColor="text1"/>
                <w:szCs w:val="22"/>
                <w:highlight w:val="yellow"/>
              </w:rPr>
              <w:t xml:space="preserve"> </w:t>
            </w:r>
            <w:r w:rsidR="00DB338F" w:rsidRPr="00703854">
              <w:rPr>
                <w:color w:val="000000" w:themeColor="text1"/>
                <w:szCs w:val="22"/>
                <w:highlight w:val="yellow"/>
              </w:rPr>
              <w:t>решени</w:t>
            </w:r>
            <w:r w:rsidR="00EE56DD" w:rsidRPr="00703854">
              <w:rPr>
                <w:color w:val="000000" w:themeColor="text1"/>
                <w:szCs w:val="22"/>
                <w:highlight w:val="yellow"/>
              </w:rPr>
              <w:t>е</w:t>
            </w:r>
            <w:r w:rsidR="00DB338F" w:rsidRPr="00703854">
              <w:rPr>
                <w:color w:val="000000" w:themeColor="text1"/>
                <w:szCs w:val="22"/>
                <w:highlight w:val="yellow"/>
              </w:rPr>
              <w:t xml:space="preserve"> об отсутствии технической возможности участия в ОПРЧ, согласованно</w:t>
            </w:r>
            <w:r w:rsidR="00EE56DD" w:rsidRPr="00703854">
              <w:rPr>
                <w:color w:val="000000" w:themeColor="text1"/>
                <w:szCs w:val="22"/>
                <w:highlight w:val="yellow"/>
              </w:rPr>
              <w:t>е</w:t>
            </w:r>
            <w:r w:rsidR="00DB338F" w:rsidRPr="00703854">
              <w:rPr>
                <w:color w:val="000000" w:themeColor="text1"/>
                <w:szCs w:val="22"/>
                <w:highlight w:val="yellow"/>
              </w:rPr>
              <w:t xml:space="preserve"> с СО в порядке, установленном </w:t>
            </w:r>
            <w:r w:rsidR="000503AE" w:rsidRPr="00703854">
              <w:rPr>
                <w:color w:val="000000" w:themeColor="text1"/>
                <w:szCs w:val="22"/>
                <w:highlight w:val="yellow"/>
              </w:rPr>
              <w:t>в п. 3.1.1.</w:t>
            </w:r>
            <w:r w:rsidR="003677AA" w:rsidRPr="00703854">
              <w:rPr>
                <w:color w:val="000000" w:themeColor="text1"/>
                <w:szCs w:val="22"/>
                <w:highlight w:val="yellow"/>
              </w:rPr>
              <w:t>5</w:t>
            </w:r>
            <w:r w:rsidR="000503AE" w:rsidRPr="00703854">
              <w:rPr>
                <w:color w:val="000000" w:themeColor="text1"/>
                <w:szCs w:val="22"/>
                <w:highlight w:val="yellow"/>
              </w:rPr>
              <w:t xml:space="preserve"> настоящего Регламента</w:t>
            </w:r>
            <w:r w:rsidR="00EE56DD" w:rsidRPr="00703854">
              <w:rPr>
                <w:color w:val="000000" w:themeColor="text1"/>
                <w:szCs w:val="22"/>
                <w:highlight w:val="yellow"/>
              </w:rPr>
              <w:t>, регистрируется</w:t>
            </w:r>
            <w:r w:rsidR="000503AE" w:rsidRPr="00703854">
              <w:rPr>
                <w:color w:val="000000" w:themeColor="text1"/>
                <w:szCs w:val="22"/>
                <w:highlight w:val="yellow"/>
              </w:rPr>
              <w:t xml:space="preserve"> </w:t>
            </w:r>
            <w:r w:rsidRPr="00703854">
              <w:rPr>
                <w:color w:val="000000" w:themeColor="text1"/>
                <w:szCs w:val="22"/>
                <w:highlight w:val="yellow"/>
              </w:rPr>
              <w:t>тип «генерирующее оборудование, не готовое к участию в ОПРЧ»</w:t>
            </w:r>
            <w:r w:rsidR="00EE56DD" w:rsidRPr="00703854">
              <w:rPr>
                <w:color w:val="000000" w:themeColor="text1"/>
                <w:szCs w:val="22"/>
                <w:highlight w:val="yellow"/>
              </w:rPr>
              <w:t>;</w:t>
            </w:r>
            <w:r w:rsidRPr="00703854">
              <w:rPr>
                <w:color w:val="000000" w:themeColor="text1"/>
                <w:szCs w:val="22"/>
                <w:highlight w:val="yellow"/>
              </w:rPr>
              <w:t xml:space="preserve"> </w:t>
            </w:r>
          </w:p>
          <w:p w:rsidR="000503AE" w:rsidRPr="00703854" w:rsidRDefault="00EE56DD" w:rsidP="00703854">
            <w:pPr>
              <w:pStyle w:val="a3"/>
              <w:widowControl w:val="0"/>
              <w:numPr>
                <w:ilvl w:val="0"/>
                <w:numId w:val="15"/>
              </w:numPr>
              <w:tabs>
                <w:tab w:val="num" w:pos="1025"/>
              </w:tabs>
              <w:spacing w:before="120" w:after="120"/>
              <w:ind w:left="1025" w:hanging="283"/>
              <w:contextualSpacing w:val="0"/>
              <w:jc w:val="both"/>
              <w:outlineLvl w:val="3"/>
              <w:rPr>
                <w:color w:val="000000" w:themeColor="text1"/>
                <w:szCs w:val="22"/>
                <w:highlight w:val="yellow"/>
              </w:rPr>
            </w:pPr>
            <w:r w:rsidRPr="00703854">
              <w:rPr>
                <w:color w:val="000000" w:themeColor="text1"/>
                <w:szCs w:val="22"/>
                <w:highlight w:val="yellow"/>
              </w:rPr>
              <w:t>в</w:t>
            </w:r>
            <w:r w:rsidR="00DB338F" w:rsidRPr="00703854">
              <w:rPr>
                <w:color w:val="000000" w:themeColor="text1"/>
                <w:szCs w:val="22"/>
                <w:highlight w:val="yellow"/>
              </w:rPr>
              <w:t xml:space="preserve"> </w:t>
            </w:r>
            <w:r w:rsidRPr="00703854">
              <w:rPr>
                <w:color w:val="000000" w:themeColor="text1"/>
                <w:szCs w:val="22"/>
                <w:highlight w:val="yellow"/>
              </w:rPr>
              <w:t xml:space="preserve">остальных случаях по умолчанию регистрируется тип «генерирующее оборудование, готовое к участию в ОПРЧ» и </w:t>
            </w:r>
            <w:r w:rsidR="00D679B6" w:rsidRPr="00703854">
              <w:rPr>
                <w:color w:val="000000" w:themeColor="text1"/>
                <w:szCs w:val="22"/>
                <w:highlight w:val="yellow"/>
              </w:rPr>
              <w:t>фиксируется</w:t>
            </w:r>
            <w:r w:rsidR="00DB338F" w:rsidRPr="00703854">
              <w:rPr>
                <w:color w:val="000000" w:themeColor="text1"/>
                <w:szCs w:val="22"/>
                <w:highlight w:val="yellow"/>
              </w:rPr>
              <w:t xml:space="preserve"> участие</w:t>
            </w:r>
            <w:r w:rsidR="00D679B6" w:rsidRPr="00703854">
              <w:rPr>
                <w:color w:val="000000" w:themeColor="text1"/>
                <w:szCs w:val="22"/>
                <w:highlight w:val="yellow"/>
              </w:rPr>
              <w:t xml:space="preserve"> в ОПРЧ</w:t>
            </w:r>
            <w:r w:rsidR="000D09BD" w:rsidRPr="00703854">
              <w:rPr>
                <w:color w:val="000000" w:themeColor="text1"/>
                <w:szCs w:val="22"/>
                <w:highlight w:val="yellow"/>
              </w:rPr>
              <w:t>,</w:t>
            </w:r>
            <w:r w:rsidR="00DB338F" w:rsidRPr="00703854">
              <w:rPr>
                <w:color w:val="000000" w:themeColor="text1"/>
                <w:szCs w:val="22"/>
                <w:highlight w:val="yellow"/>
              </w:rPr>
              <w:t xml:space="preserve"> не соответствующее Техническим требованиям.</w:t>
            </w:r>
          </w:p>
          <w:p w:rsidR="00236E36" w:rsidRPr="00703854" w:rsidRDefault="000503AE" w:rsidP="00703854">
            <w:pPr>
              <w:widowControl w:val="0"/>
              <w:tabs>
                <w:tab w:val="num" w:pos="4439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3.1.1.5. 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При отсутствии технической возможности участия в ОПРЧ генерирующего оборуд</w:t>
            </w:r>
            <w:r w:rsidR="00E91388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ования ТЭС с турбинами типа «Р»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(в том числе «ПР», «ТР» и «ПТР»), </w:t>
            </w:r>
            <w:proofErr w:type="spellStart"/>
            <w:r w:rsidR="00D679B6" w:rsidRPr="00703854">
              <w:rPr>
                <w:rFonts w:ascii="Garamond" w:hAnsi="Garamond" w:cs="Garamond"/>
                <w:color w:val="000000" w:themeColor="text1"/>
                <w:sz w:val="22"/>
                <w:szCs w:val="22"/>
                <w:highlight w:val="yellow"/>
              </w:rPr>
              <w:t>введенного</w:t>
            </w:r>
            <w:proofErr w:type="spellEnd"/>
            <w:r w:rsidR="00D679B6" w:rsidRPr="00703854">
              <w:rPr>
                <w:rFonts w:ascii="Garamond" w:hAnsi="Garamond" w:cs="Garamond"/>
                <w:color w:val="000000" w:themeColor="text1"/>
                <w:sz w:val="22"/>
                <w:szCs w:val="22"/>
                <w:highlight w:val="yellow"/>
              </w:rPr>
              <w:t xml:space="preserve"> в эксплуатацию до 16.08.2018,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участник оптового рынка должен направить СО проект решения о технической невозможности участия в ОПРЧ генерирующего оборудования с прило</w:t>
            </w:r>
            <w:r w:rsidR="00E91388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жением заключения организации-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изготовителя или экспертной организации, занимающейся деятельностью по испытаниям, техническому обслуживанию и наладке данного типа оборудования</w:t>
            </w:r>
            <w:r w:rsidR="00D679B6" w:rsidRPr="00703854" w:rsidDel="00A80010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и других имеющихся у него документов, подтверждающих отсутствие технической возможности участия в ОПРЧ такого оборудования. СО в течение 15 рабочих дней рассм</w:t>
            </w:r>
            <w:r w:rsidR="000D09BD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а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тр</w:t>
            </w:r>
            <w:r w:rsidR="000D09BD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ива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ет представленные документы и</w:t>
            </w:r>
            <w:r w:rsidR="000D09BD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принимает решение о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согласова</w:t>
            </w:r>
            <w:r w:rsidR="000D09BD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нии 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проект</w:t>
            </w:r>
            <w:r w:rsidR="000D09BD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а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решения о технической невозможности участия в ОПРЧ генерирующего оборудования или отказ</w:t>
            </w:r>
            <w:r w:rsidR="000D09BD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е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 в таком подтверждении с обоснованием причин и 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lastRenderedPageBreak/>
              <w:t>направ</w:t>
            </w:r>
            <w:r w:rsidR="000D09BD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ляе</w:t>
            </w:r>
            <w:r w:rsidR="00D679B6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т уведомление о принятом решении участнику оптового рынка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.</w:t>
            </w:r>
          </w:p>
          <w:p w:rsidR="00185FDB" w:rsidRPr="00703854" w:rsidRDefault="00236E36" w:rsidP="00703854">
            <w:pPr>
              <w:widowControl w:val="0"/>
              <w:tabs>
                <w:tab w:val="num" w:pos="4439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Формат предоставления и порядок согласования соответствующих данных определяется Техническими требованиями.</w:t>
            </w:r>
          </w:p>
          <w:p w:rsidR="000503AE" w:rsidRPr="00703854" w:rsidRDefault="00185FDB" w:rsidP="00703854">
            <w:pPr>
              <w:widowControl w:val="0"/>
              <w:tabs>
                <w:tab w:val="num" w:pos="4439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Если указанный комплект документов направлен участником оптового рынка СО до 01.05.2019, то СО направляет уведомление участнику оптового рынка о принятом решении о согласовании проекта решения о технической невозможности участия в ОПРЧ генерирующего оборудования или отказе в таком подтверждении с обоснованием причин не позднее </w:t>
            </w:r>
            <w:r w:rsidR="00E53C0B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28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.05.2019.</w:t>
            </w:r>
          </w:p>
          <w:p w:rsidR="00DB338F" w:rsidRPr="00703854" w:rsidRDefault="00DB338F" w:rsidP="00703854">
            <w:pPr>
              <w:widowControl w:val="0"/>
              <w:tabs>
                <w:tab w:val="num" w:pos="4439"/>
              </w:tabs>
              <w:spacing w:before="120" w:after="120"/>
              <w:jc w:val="both"/>
              <w:outlineLvl w:val="3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>3.1.1.</w:t>
            </w:r>
            <w:r w:rsidR="000503AE"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6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.</w:t>
            </w:r>
            <w:r w:rsidRPr="0070385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 СО осуществляет регистрацию и формирует данные о случаях участия/неучастия (участия, не соответствующего Техническим требованиям) генерирующего оборудования в ОПРЧ на основании данных систем мониторинга участия в ОПРЧ генерирующего оборудования, действующих на основе ОИК СО или иных специализированных систем СО в соответствии с Техническими требованиями, а также расследования случаев значимого изменения частоты электрического тока (превышающих ±0,2 Гц).</w:t>
            </w:r>
          </w:p>
          <w:p w:rsidR="00DB338F" w:rsidRPr="00703854" w:rsidRDefault="00DB338F" w:rsidP="00703854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</w:p>
        </w:tc>
      </w:tr>
      <w:tr w:rsidR="00DB338F" w:rsidRPr="00703854" w:rsidTr="00E71D56">
        <w:trPr>
          <w:trHeight w:val="147"/>
        </w:trPr>
        <w:tc>
          <w:tcPr>
            <w:tcW w:w="900" w:type="dxa"/>
            <w:shd w:val="clear" w:color="auto" w:fill="auto"/>
            <w:vAlign w:val="center"/>
          </w:tcPr>
          <w:p w:rsidR="00DB338F" w:rsidRPr="00703854" w:rsidRDefault="00DB338F" w:rsidP="00B859B2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703854">
              <w:rPr>
                <w:rFonts w:ascii="Garamond" w:hAnsi="Garamond"/>
                <w:b/>
                <w:sz w:val="22"/>
                <w:szCs w:val="22"/>
              </w:rPr>
              <w:lastRenderedPageBreak/>
              <w:t>3.1.2</w:t>
            </w:r>
          </w:p>
        </w:tc>
        <w:tc>
          <w:tcPr>
            <w:tcW w:w="7105" w:type="dxa"/>
            <w:shd w:val="clear" w:color="auto" w:fill="auto"/>
          </w:tcPr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</w:rPr>
              <w:t>По факту участия/неучастия (участия, не соответствующего Техническим требованиям) генерирующего оборудования в ОПРЧ СО устанавливает интегральный (за месяц) показатель участия генерирующего оборудования в ОПРЧ. Неучастие генерирующего оборудования в ОПРЧ регистрируется при отсутствии необходимой реакции на отклонения частоты.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</w:rPr>
              <w:t>Для генерирующего оборудования, имеющего тип «генерирующее оборудование, готовое к участию в ОПРЧ», интегральный показатель участия генерирующего оборудования в ОПРЧ устанавливается равным:</w:t>
            </w:r>
          </w:p>
          <w:p w:rsidR="00DB338F" w:rsidRPr="00703854" w:rsidRDefault="00DB338F" w:rsidP="00703854">
            <w:pPr>
              <w:widowControl w:val="0"/>
              <w:numPr>
                <w:ilvl w:val="0"/>
                <w:numId w:val="13"/>
              </w:numPr>
              <w:spacing w:before="120" w:after="120"/>
              <w:ind w:left="993" w:hanging="284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«1», если в течение месяца:</w:t>
            </w:r>
          </w:p>
          <w:p w:rsidR="00DB338F" w:rsidRPr="00703854" w:rsidRDefault="00DB338F" w:rsidP="00703854">
            <w:pPr>
              <w:widowControl w:val="0"/>
              <w:numPr>
                <w:ilvl w:val="0"/>
                <w:numId w:val="14"/>
              </w:numPr>
              <w:spacing w:before="120" w:after="120"/>
              <w:ind w:left="1134" w:hanging="283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не возникло условий участия генерирующего оборудования в ОПРЧ либо генерирующее оборудование было отключено;</w:t>
            </w:r>
          </w:p>
          <w:p w:rsidR="00DB338F" w:rsidRPr="00703854" w:rsidRDefault="00DB338F" w:rsidP="00703854">
            <w:pPr>
              <w:widowControl w:val="0"/>
              <w:numPr>
                <w:ilvl w:val="0"/>
                <w:numId w:val="14"/>
              </w:numPr>
              <w:spacing w:before="120" w:after="120"/>
              <w:ind w:left="1134" w:hanging="283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не было зафиксировано неучастие (участие, не соответствующее Техническим требованиям) генерирующего оборудования в ОПРЧ при возникновении условий участия;</w:t>
            </w:r>
          </w:p>
          <w:p w:rsidR="00DB338F" w:rsidRPr="00703854" w:rsidRDefault="00DB338F" w:rsidP="00703854">
            <w:pPr>
              <w:widowControl w:val="0"/>
              <w:numPr>
                <w:ilvl w:val="0"/>
                <w:numId w:val="14"/>
              </w:numPr>
              <w:spacing w:before="120" w:after="120"/>
              <w:ind w:left="1134" w:hanging="283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участие генерирующего оборудования в ОПРЧ невозможно   в </w:t>
            </w:r>
            <w:r w:rsidRPr="0070385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lastRenderedPageBreak/>
              <w:t>согласованный период вывода генерирующего оборудования из ОПРЧ из-за проведения плановых ремонтных работ по диспетчерской заявке;</w:t>
            </w:r>
          </w:p>
          <w:p w:rsidR="00DB338F" w:rsidRPr="00703854" w:rsidRDefault="00DB338F" w:rsidP="00703854">
            <w:pPr>
              <w:widowControl w:val="0"/>
              <w:numPr>
                <w:ilvl w:val="0"/>
                <w:numId w:val="13"/>
              </w:numPr>
              <w:spacing w:before="120" w:after="120"/>
              <w:ind w:left="993" w:hanging="284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«0» - в остальных случаях.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</w:rPr>
              <w:t xml:space="preserve">Для генерирующего оборудования, имеющего тип «генерирующее оборудование, готовое к участию в ОПРЧ» и для которого за </w:t>
            </w:r>
            <w:proofErr w:type="spellStart"/>
            <w:r w:rsidRPr="00703854">
              <w:rPr>
                <w:rFonts w:ascii="Garamond" w:hAnsi="Garamond"/>
                <w:color w:val="000000"/>
                <w:sz w:val="22"/>
                <w:szCs w:val="22"/>
              </w:rPr>
              <w:t>отчетный</w:t>
            </w:r>
            <w:proofErr w:type="spellEnd"/>
            <w:r w:rsidRPr="00703854">
              <w:rPr>
                <w:rFonts w:ascii="Garamond" w:hAnsi="Garamond"/>
                <w:color w:val="000000"/>
                <w:sz w:val="22"/>
                <w:szCs w:val="22"/>
              </w:rPr>
              <w:t xml:space="preserve"> месяц интегральный показатель фактического участия в ОПРЧ был установлен равным нулю (зарегистрировано неудовлетворительное участие в ОПРЧ или участие, не соответствующее Техническим требованиям), устанавливается тип «генерирующее оборудование, не готовое к участию в ОПРЧ», начиная с месяца, следующего за месяцем, в котором было зарегистрировано неучастие (неудовлетворительное участие) в ОПРЧ, и до момента подтверждения готовности к участию в ОПРЧ.</w:t>
            </w:r>
          </w:p>
          <w:p w:rsidR="00DB338F" w:rsidRPr="00703854" w:rsidRDefault="00D477E2" w:rsidP="00703854">
            <w:pPr>
              <w:pStyle w:val="4"/>
              <w:keepNext w:val="0"/>
              <w:keepLines w:val="0"/>
              <w:widowControl w:val="0"/>
              <w:spacing w:before="120" w:after="120"/>
              <w:jc w:val="both"/>
              <w:rPr>
                <w:rFonts w:ascii="Garamond" w:hAnsi="Garamond"/>
                <w:i w:val="0"/>
                <w:sz w:val="22"/>
                <w:szCs w:val="22"/>
              </w:rPr>
            </w:pPr>
            <w:r w:rsidRPr="00703854">
              <w:rPr>
                <w:rFonts w:ascii="Garamond" w:hAnsi="Garamond"/>
                <w:i w:val="0"/>
                <w:sz w:val="22"/>
                <w:szCs w:val="22"/>
              </w:rPr>
              <w:t>…</w:t>
            </w:r>
          </w:p>
        </w:tc>
        <w:tc>
          <w:tcPr>
            <w:tcW w:w="7182" w:type="dxa"/>
            <w:shd w:val="clear" w:color="auto" w:fill="auto"/>
          </w:tcPr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По факту участия/неучастия (участия, не соответствующего Техническим требованиям) генерирующего оборудования в ОПРЧ СО устанавливает интегральный (за месяц) показатель участия генерирующего оборудования в ОПРЧ. Неучастие генерирующего оборудования в ОПРЧ регистрируется при отсутствии необходимой реакции на отклонения частоты.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</w:rPr>
              <w:t>Для генерирующего оборудования, имеющего тип «генерирующее оборудование, готовое к участию в ОПРЧ», интегральный показатель участия генерирующего оборудования в ОПРЧ устанавливается равным:</w:t>
            </w:r>
          </w:p>
          <w:p w:rsidR="00D679B6" w:rsidRPr="00703854" w:rsidRDefault="00D679B6" w:rsidP="00703854">
            <w:pPr>
              <w:widowControl w:val="0"/>
              <w:numPr>
                <w:ilvl w:val="0"/>
                <w:numId w:val="13"/>
              </w:numPr>
              <w:spacing w:before="120" w:after="120"/>
              <w:ind w:left="993" w:hanging="284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«0» в следующих случаях:</w:t>
            </w:r>
          </w:p>
          <w:p w:rsidR="00D679B6" w:rsidRPr="00703854" w:rsidRDefault="00D679B6" w:rsidP="00703854">
            <w:pPr>
              <w:pStyle w:val="a3"/>
              <w:widowControl w:val="0"/>
              <w:numPr>
                <w:ilvl w:val="0"/>
                <w:numId w:val="17"/>
              </w:numPr>
              <w:spacing w:before="120" w:after="120"/>
              <w:ind w:left="1167" w:hanging="283"/>
              <w:contextualSpacing w:val="0"/>
              <w:jc w:val="both"/>
              <w:rPr>
                <w:color w:val="000000"/>
                <w:szCs w:val="22"/>
                <w:highlight w:val="yellow"/>
              </w:rPr>
            </w:pPr>
            <w:r w:rsidRPr="00703854">
              <w:rPr>
                <w:color w:val="000000"/>
                <w:szCs w:val="22"/>
                <w:highlight w:val="yellow"/>
              </w:rPr>
              <w:t>при возник</w:t>
            </w:r>
            <w:r w:rsidR="00E91388">
              <w:rPr>
                <w:color w:val="000000"/>
                <w:szCs w:val="22"/>
                <w:highlight w:val="yellow"/>
              </w:rPr>
              <w:t>новении условий участия в ОПРЧ –</w:t>
            </w:r>
            <w:r w:rsidRPr="00703854">
              <w:rPr>
                <w:color w:val="000000"/>
                <w:szCs w:val="22"/>
                <w:highlight w:val="yellow"/>
              </w:rPr>
              <w:t xml:space="preserve"> в случаях неучастия (неудовлетворительного участия или участия</w:t>
            </w:r>
            <w:r w:rsidR="00E91388">
              <w:rPr>
                <w:color w:val="000000"/>
                <w:szCs w:val="22"/>
                <w:highlight w:val="yellow"/>
              </w:rPr>
              <w:t>,</w:t>
            </w:r>
            <w:r w:rsidRPr="00703854">
              <w:rPr>
                <w:color w:val="000000"/>
                <w:szCs w:val="22"/>
                <w:highlight w:val="yellow"/>
              </w:rPr>
              <w:t xml:space="preserve"> не соответствующего Техническим требованиям) в ОПРЧ (за исключением неучастия генерирующего оборудования в ОПРЧ в период согласованного вывода генерирующего оборудования из ОПРЧ из-за проведения плановых ремонтных работ по диспетчерской заявке в </w:t>
            </w:r>
            <w:proofErr w:type="spellStart"/>
            <w:r w:rsidRPr="00703854">
              <w:rPr>
                <w:color w:val="000000"/>
                <w:szCs w:val="22"/>
                <w:highlight w:val="yellow"/>
              </w:rPr>
              <w:t>объеме</w:t>
            </w:r>
            <w:proofErr w:type="spellEnd"/>
            <w:r w:rsidRPr="00703854">
              <w:rPr>
                <w:color w:val="000000"/>
                <w:szCs w:val="22"/>
                <w:highlight w:val="yellow"/>
              </w:rPr>
              <w:t xml:space="preserve">, не превышающем величины, </w:t>
            </w:r>
            <w:r w:rsidR="005B4641" w:rsidRPr="00703854">
              <w:rPr>
                <w:color w:val="000000" w:themeColor="text1"/>
                <w:szCs w:val="22"/>
                <w:highlight w:val="yellow"/>
              </w:rPr>
              <w:lastRenderedPageBreak/>
              <w:t>установленно</w:t>
            </w:r>
            <w:r w:rsidR="00D477E2" w:rsidRPr="00703854">
              <w:rPr>
                <w:color w:val="000000" w:themeColor="text1"/>
                <w:szCs w:val="22"/>
                <w:highlight w:val="yellow"/>
              </w:rPr>
              <w:t>й</w:t>
            </w:r>
            <w:r w:rsidR="005B4641" w:rsidRPr="00703854">
              <w:rPr>
                <w:color w:val="000000" w:themeColor="text1"/>
                <w:szCs w:val="22"/>
                <w:highlight w:val="yellow"/>
              </w:rPr>
              <w:t xml:space="preserve"> в п. 3.1.1.3 настоящего Регламента</w:t>
            </w:r>
            <w:r w:rsidR="000D09BD" w:rsidRPr="00703854">
              <w:rPr>
                <w:color w:val="000000" w:themeColor="text1"/>
                <w:szCs w:val="22"/>
                <w:highlight w:val="yellow"/>
              </w:rPr>
              <w:t>)</w:t>
            </w:r>
            <w:r w:rsidRPr="00703854">
              <w:rPr>
                <w:color w:val="000000"/>
                <w:szCs w:val="22"/>
                <w:highlight w:val="yellow"/>
              </w:rPr>
              <w:t>;</w:t>
            </w:r>
          </w:p>
          <w:p w:rsidR="00D679B6" w:rsidRPr="00703854" w:rsidRDefault="00D679B6" w:rsidP="00703854">
            <w:pPr>
              <w:pStyle w:val="a3"/>
              <w:widowControl w:val="0"/>
              <w:numPr>
                <w:ilvl w:val="0"/>
                <w:numId w:val="17"/>
              </w:numPr>
              <w:spacing w:before="120" w:after="120"/>
              <w:ind w:left="1167" w:hanging="283"/>
              <w:contextualSpacing w:val="0"/>
              <w:jc w:val="both"/>
              <w:rPr>
                <w:color w:val="000000"/>
                <w:szCs w:val="22"/>
                <w:highlight w:val="yellow"/>
              </w:rPr>
            </w:pPr>
            <w:r w:rsidRPr="00703854">
              <w:rPr>
                <w:color w:val="000000"/>
                <w:szCs w:val="22"/>
                <w:highlight w:val="yellow"/>
              </w:rPr>
              <w:t xml:space="preserve">в отношении генерирующего оборудования тепловых электростанций с турбинами типа «Р» (в том числе «ПР», «ТР» и «ПТР»), </w:t>
            </w:r>
            <w:proofErr w:type="spellStart"/>
            <w:r w:rsidRPr="00703854">
              <w:rPr>
                <w:color w:val="000000"/>
                <w:szCs w:val="22"/>
                <w:highlight w:val="yellow"/>
              </w:rPr>
              <w:t>введенного</w:t>
            </w:r>
            <w:proofErr w:type="spellEnd"/>
            <w:r w:rsidRPr="00703854">
              <w:rPr>
                <w:color w:val="000000"/>
                <w:szCs w:val="22"/>
                <w:highlight w:val="yellow"/>
              </w:rPr>
              <w:t xml:space="preserve"> в эксплуатацию до </w:t>
            </w:r>
            <w:r w:rsidR="005B4641" w:rsidRPr="00703854">
              <w:rPr>
                <w:rFonts w:cs="Garamond"/>
                <w:color w:val="000000" w:themeColor="text1"/>
                <w:szCs w:val="22"/>
                <w:highlight w:val="yellow"/>
              </w:rPr>
              <w:t>16.08.2018</w:t>
            </w:r>
            <w:r w:rsidRPr="00703854">
              <w:rPr>
                <w:color w:val="000000"/>
                <w:szCs w:val="22"/>
                <w:highlight w:val="yellow"/>
              </w:rPr>
              <w:t xml:space="preserve">, в отношении которого в порядке, </w:t>
            </w:r>
            <w:r w:rsidR="005B4641" w:rsidRPr="00703854">
              <w:rPr>
                <w:color w:val="000000" w:themeColor="text1"/>
                <w:szCs w:val="22"/>
                <w:highlight w:val="yellow"/>
              </w:rPr>
              <w:t>установленном в п. 3.1.1.</w:t>
            </w:r>
            <w:r w:rsidR="00EE56DD" w:rsidRPr="00703854">
              <w:rPr>
                <w:color w:val="000000" w:themeColor="text1"/>
                <w:szCs w:val="22"/>
                <w:highlight w:val="yellow"/>
              </w:rPr>
              <w:t>4</w:t>
            </w:r>
            <w:r w:rsidR="005B4641" w:rsidRPr="00703854">
              <w:rPr>
                <w:color w:val="000000" w:themeColor="text1"/>
                <w:szCs w:val="22"/>
                <w:highlight w:val="yellow"/>
              </w:rPr>
              <w:t xml:space="preserve"> настоящего Регламента</w:t>
            </w:r>
            <w:r w:rsidR="0095698F">
              <w:rPr>
                <w:color w:val="000000" w:themeColor="text1"/>
                <w:szCs w:val="22"/>
                <w:highlight w:val="yellow"/>
              </w:rPr>
              <w:t>,</w:t>
            </w:r>
            <w:r w:rsidRPr="00703854">
              <w:rPr>
                <w:color w:val="000000"/>
                <w:szCs w:val="22"/>
                <w:highlight w:val="yellow"/>
              </w:rPr>
              <w:t xml:space="preserve"> зарегистрирован тип «генерирующее оборудование, готовое к участию в ОПРЧ»</w:t>
            </w:r>
            <w:r w:rsidR="00EE56DD" w:rsidRPr="00703854">
              <w:rPr>
                <w:color w:val="000000"/>
                <w:szCs w:val="22"/>
                <w:highlight w:val="yellow"/>
              </w:rPr>
              <w:t xml:space="preserve"> и </w:t>
            </w:r>
            <w:r w:rsidR="00EE56DD" w:rsidRPr="00703854">
              <w:rPr>
                <w:color w:val="000000" w:themeColor="text1"/>
                <w:szCs w:val="22"/>
                <w:highlight w:val="yellow"/>
              </w:rPr>
              <w:t>фиксируется участие в ОПРЧ</w:t>
            </w:r>
            <w:r w:rsidR="000D09BD" w:rsidRPr="00703854">
              <w:rPr>
                <w:color w:val="000000" w:themeColor="text1"/>
                <w:szCs w:val="22"/>
                <w:highlight w:val="yellow"/>
              </w:rPr>
              <w:t>,</w:t>
            </w:r>
            <w:r w:rsidR="00EE56DD" w:rsidRPr="00703854">
              <w:rPr>
                <w:color w:val="000000" w:themeColor="text1"/>
                <w:szCs w:val="22"/>
                <w:highlight w:val="yellow"/>
              </w:rPr>
              <w:t xml:space="preserve"> не соответствующее Техническим требованиям</w:t>
            </w:r>
            <w:r w:rsidR="0095698F">
              <w:rPr>
                <w:color w:val="000000" w:themeColor="text1"/>
                <w:szCs w:val="22"/>
                <w:highlight w:val="yellow"/>
              </w:rPr>
              <w:t>;</w:t>
            </w:r>
          </w:p>
          <w:p w:rsidR="00D679B6" w:rsidRPr="00703854" w:rsidRDefault="00D679B6" w:rsidP="00703854">
            <w:pPr>
              <w:widowControl w:val="0"/>
              <w:numPr>
                <w:ilvl w:val="0"/>
                <w:numId w:val="13"/>
              </w:numPr>
              <w:spacing w:before="120" w:after="120"/>
              <w:ind w:left="993" w:hanging="28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«</w:t>
            </w:r>
            <w:r w:rsidR="005B4641" w:rsidRPr="00703854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en-US"/>
              </w:rPr>
              <w:t>1</w:t>
            </w:r>
            <w:r w:rsidRPr="0070385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»</w:t>
            </w:r>
            <w:r w:rsidRPr="00703854">
              <w:rPr>
                <w:rFonts w:ascii="Garamond" w:hAnsi="Garamond"/>
                <w:color w:val="000000"/>
                <w:sz w:val="22"/>
                <w:szCs w:val="22"/>
              </w:rPr>
              <w:t xml:space="preserve"> - в остальных случаях.</w:t>
            </w:r>
          </w:p>
          <w:p w:rsidR="00DB338F" w:rsidRPr="00703854" w:rsidRDefault="00DB338F" w:rsidP="00703854">
            <w:pPr>
              <w:widowControl w:val="0"/>
              <w:tabs>
                <w:tab w:val="num" w:pos="720"/>
              </w:tabs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703854">
              <w:rPr>
                <w:rFonts w:ascii="Garamond" w:hAnsi="Garamond"/>
                <w:color w:val="000000"/>
                <w:sz w:val="22"/>
                <w:szCs w:val="22"/>
              </w:rPr>
              <w:t xml:space="preserve">Для генерирующего оборудования, имеющего тип «генерирующее оборудование, готовое к участию в ОПРЧ» и для которого за </w:t>
            </w:r>
            <w:proofErr w:type="spellStart"/>
            <w:r w:rsidRPr="00703854">
              <w:rPr>
                <w:rFonts w:ascii="Garamond" w:hAnsi="Garamond"/>
                <w:color w:val="000000"/>
                <w:sz w:val="22"/>
                <w:szCs w:val="22"/>
              </w:rPr>
              <w:t>отчетный</w:t>
            </w:r>
            <w:proofErr w:type="spellEnd"/>
            <w:r w:rsidRPr="00703854">
              <w:rPr>
                <w:rFonts w:ascii="Garamond" w:hAnsi="Garamond"/>
                <w:color w:val="000000"/>
                <w:sz w:val="22"/>
                <w:szCs w:val="22"/>
              </w:rPr>
              <w:t xml:space="preserve"> месяц интегральный показатель фактического участия в ОПРЧ был установлен равным нулю (зарегистрировано неудовлетворительное участие в ОПРЧ или участие, не соответствующее Техническим требованиям), устанавливается тип «генерирующее оборудование, не готовое к участию в ОПРЧ», начиная с месяца, следующего за месяцем, в котором было зарегистрировано неучастие (неудовлетворительное участие) в ОПРЧ, и до момента подтверждения готовности к участию в ОПРЧ.</w:t>
            </w:r>
          </w:p>
          <w:p w:rsidR="00DB338F" w:rsidRPr="00703854" w:rsidRDefault="00D477E2" w:rsidP="00703854">
            <w:pPr>
              <w:pStyle w:val="4"/>
              <w:keepNext w:val="0"/>
              <w:keepLines w:val="0"/>
              <w:widowControl w:val="0"/>
              <w:spacing w:before="120" w:after="120"/>
              <w:jc w:val="both"/>
              <w:rPr>
                <w:rFonts w:ascii="Garamond" w:hAnsi="Garamond"/>
                <w:i w:val="0"/>
                <w:sz w:val="22"/>
                <w:szCs w:val="22"/>
              </w:rPr>
            </w:pPr>
            <w:r w:rsidRPr="00703854">
              <w:rPr>
                <w:rFonts w:ascii="Garamond" w:hAnsi="Garamond"/>
                <w:i w:val="0"/>
                <w:sz w:val="22"/>
                <w:szCs w:val="22"/>
              </w:rPr>
              <w:t>…</w:t>
            </w:r>
          </w:p>
        </w:tc>
      </w:tr>
    </w:tbl>
    <w:p w:rsidR="00C264AE" w:rsidRDefault="00C264AE" w:rsidP="00B859B2">
      <w:pPr>
        <w:widowControl w:val="0"/>
      </w:pPr>
      <w:bookmarkStart w:id="5" w:name="_GoBack"/>
      <w:bookmarkEnd w:id="5"/>
    </w:p>
    <w:sectPr w:rsidR="00C264AE" w:rsidSect="006865D2">
      <w:headerReference w:type="default" r:id="rId8"/>
      <w:pgSz w:w="16838" w:h="11906" w:orient="landscape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F07" w:rsidRDefault="00CD4F07" w:rsidP="00275242">
      <w:r>
        <w:separator/>
      </w:r>
    </w:p>
  </w:endnote>
  <w:endnote w:type="continuationSeparator" w:id="0">
    <w:p w:rsidR="00CD4F07" w:rsidRDefault="00CD4F07" w:rsidP="0027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F07" w:rsidRDefault="00CD4F07" w:rsidP="00275242">
      <w:r>
        <w:separator/>
      </w:r>
    </w:p>
  </w:footnote>
  <w:footnote w:type="continuationSeparator" w:id="0">
    <w:p w:rsidR="00CD4F07" w:rsidRDefault="00CD4F07" w:rsidP="00275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6570865"/>
      <w:docPartObj>
        <w:docPartGallery w:val="Page Numbers (Top of Page)"/>
        <w:docPartUnique/>
      </w:docPartObj>
    </w:sdtPr>
    <w:sdtEndPr/>
    <w:sdtContent>
      <w:p w:rsidR="002A44FB" w:rsidRDefault="002A44FB" w:rsidP="00E2683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701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46464CD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cs="Times New Roman" w:hint="default"/>
        <w:b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" w15:restartNumberingAfterBreak="0">
    <w:nsid w:val="00765F8D"/>
    <w:multiLevelType w:val="hybridMultilevel"/>
    <w:tmpl w:val="E90063BC"/>
    <w:lvl w:ilvl="0" w:tplc="D03C4C5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5070C3"/>
    <w:multiLevelType w:val="hybridMultilevel"/>
    <w:tmpl w:val="881287E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43CB3"/>
    <w:multiLevelType w:val="hybridMultilevel"/>
    <w:tmpl w:val="8B1062D8"/>
    <w:lvl w:ilvl="0" w:tplc="04190011">
      <w:start w:val="2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26C8D"/>
    <w:multiLevelType w:val="multilevel"/>
    <w:tmpl w:val="2DC89BB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320" w:hanging="720"/>
      </w:pPr>
    </w:lvl>
    <w:lvl w:ilvl="2">
      <w:start w:val="1"/>
      <w:numFmt w:val="decimalZero"/>
      <w:lvlText w:val="%1.%2.%3."/>
      <w:lvlJc w:val="left"/>
      <w:pPr>
        <w:ind w:left="1920" w:hanging="720"/>
      </w:pPr>
    </w:lvl>
    <w:lvl w:ilvl="3">
      <w:start w:val="1"/>
      <w:numFmt w:val="decimal"/>
      <w:lvlText w:val="%1.%2.%3.%4."/>
      <w:lvlJc w:val="left"/>
      <w:pPr>
        <w:ind w:left="2880" w:hanging="1080"/>
      </w:pPr>
    </w:lvl>
    <w:lvl w:ilvl="4">
      <w:start w:val="1"/>
      <w:numFmt w:val="decimal"/>
      <w:lvlText w:val="%1.%2.%3.%4.%5."/>
      <w:lvlJc w:val="left"/>
      <w:pPr>
        <w:ind w:left="3480" w:hanging="1080"/>
      </w:pPr>
    </w:lvl>
    <w:lvl w:ilvl="5">
      <w:start w:val="1"/>
      <w:numFmt w:val="decimal"/>
      <w:lvlText w:val="%1.%2.%3.%4.%5.%6."/>
      <w:lvlJc w:val="left"/>
      <w:pPr>
        <w:ind w:left="4440" w:hanging="1440"/>
      </w:pPr>
    </w:lvl>
    <w:lvl w:ilvl="6">
      <w:start w:val="1"/>
      <w:numFmt w:val="decimal"/>
      <w:lvlText w:val="%1.%2.%3.%4.%5.%6.%7."/>
      <w:lvlJc w:val="left"/>
      <w:pPr>
        <w:ind w:left="5040" w:hanging="1440"/>
      </w:pPr>
    </w:lvl>
    <w:lvl w:ilvl="7">
      <w:start w:val="1"/>
      <w:numFmt w:val="decimal"/>
      <w:lvlText w:val="%1.%2.%3.%4.%5.%6.%7.%8."/>
      <w:lvlJc w:val="left"/>
      <w:pPr>
        <w:ind w:left="6000" w:hanging="1800"/>
      </w:pPr>
    </w:lvl>
    <w:lvl w:ilvl="8">
      <w:start w:val="1"/>
      <w:numFmt w:val="decimal"/>
      <w:lvlText w:val="%1.%2.%3.%4.%5.%6.%7.%8.%9."/>
      <w:lvlJc w:val="left"/>
      <w:pPr>
        <w:ind w:left="6600" w:hanging="1800"/>
      </w:pPr>
    </w:lvl>
  </w:abstractNum>
  <w:abstractNum w:abstractNumId="5" w15:restartNumberingAfterBreak="0">
    <w:nsid w:val="365C2277"/>
    <w:multiLevelType w:val="hybridMultilevel"/>
    <w:tmpl w:val="1E064934"/>
    <w:lvl w:ilvl="0" w:tplc="04190011">
      <w:start w:val="2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530B9"/>
    <w:multiLevelType w:val="hybridMultilevel"/>
    <w:tmpl w:val="B20279AC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A03BD9"/>
    <w:multiLevelType w:val="hybridMultilevel"/>
    <w:tmpl w:val="B7FA7164"/>
    <w:lvl w:ilvl="0" w:tplc="04190011">
      <w:start w:val="2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11A53"/>
    <w:multiLevelType w:val="hybridMultilevel"/>
    <w:tmpl w:val="1D189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DD0D68"/>
    <w:multiLevelType w:val="hybridMultilevel"/>
    <w:tmpl w:val="23E807F6"/>
    <w:lvl w:ilvl="0" w:tplc="26666F38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1B3653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0805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446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A488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28F7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0A07A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CACF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AAEE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B6F367A"/>
    <w:multiLevelType w:val="hybridMultilevel"/>
    <w:tmpl w:val="6A22F3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55D05"/>
    <w:multiLevelType w:val="hybridMultilevel"/>
    <w:tmpl w:val="47A619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1E30F9"/>
    <w:multiLevelType w:val="hybridMultilevel"/>
    <w:tmpl w:val="C14E5DD2"/>
    <w:lvl w:ilvl="0" w:tplc="67AEDDA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7842B3"/>
    <w:multiLevelType w:val="multilevel"/>
    <w:tmpl w:val="2DC89BB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320" w:hanging="720"/>
      </w:pPr>
    </w:lvl>
    <w:lvl w:ilvl="2">
      <w:start w:val="1"/>
      <w:numFmt w:val="decimalZero"/>
      <w:lvlText w:val="%1.%2.%3."/>
      <w:lvlJc w:val="left"/>
      <w:pPr>
        <w:ind w:left="1920" w:hanging="720"/>
      </w:pPr>
    </w:lvl>
    <w:lvl w:ilvl="3">
      <w:start w:val="1"/>
      <w:numFmt w:val="decimal"/>
      <w:lvlText w:val="%1.%2.%3.%4."/>
      <w:lvlJc w:val="left"/>
      <w:pPr>
        <w:ind w:left="2880" w:hanging="1080"/>
      </w:pPr>
    </w:lvl>
    <w:lvl w:ilvl="4">
      <w:start w:val="1"/>
      <w:numFmt w:val="decimal"/>
      <w:lvlText w:val="%1.%2.%3.%4.%5."/>
      <w:lvlJc w:val="left"/>
      <w:pPr>
        <w:ind w:left="3480" w:hanging="1080"/>
      </w:pPr>
    </w:lvl>
    <w:lvl w:ilvl="5">
      <w:start w:val="1"/>
      <w:numFmt w:val="decimal"/>
      <w:lvlText w:val="%1.%2.%3.%4.%5.%6."/>
      <w:lvlJc w:val="left"/>
      <w:pPr>
        <w:ind w:left="4440" w:hanging="1440"/>
      </w:pPr>
    </w:lvl>
    <w:lvl w:ilvl="6">
      <w:start w:val="1"/>
      <w:numFmt w:val="decimal"/>
      <w:lvlText w:val="%1.%2.%3.%4.%5.%6.%7."/>
      <w:lvlJc w:val="left"/>
      <w:pPr>
        <w:ind w:left="5040" w:hanging="1440"/>
      </w:pPr>
    </w:lvl>
    <w:lvl w:ilvl="7">
      <w:start w:val="1"/>
      <w:numFmt w:val="decimal"/>
      <w:lvlText w:val="%1.%2.%3.%4.%5.%6.%7.%8."/>
      <w:lvlJc w:val="left"/>
      <w:pPr>
        <w:ind w:left="6000" w:hanging="1800"/>
      </w:pPr>
    </w:lvl>
    <w:lvl w:ilvl="8">
      <w:start w:val="1"/>
      <w:numFmt w:val="decimal"/>
      <w:lvlText w:val="%1.%2.%3.%4.%5.%6.%7.%8.%9."/>
      <w:lvlJc w:val="left"/>
      <w:pPr>
        <w:ind w:left="6600" w:hanging="1800"/>
      </w:pPr>
    </w:lvl>
  </w:abstractNum>
  <w:abstractNum w:abstractNumId="14" w15:restartNumberingAfterBreak="0">
    <w:nsid w:val="6D63309C"/>
    <w:multiLevelType w:val="hybridMultilevel"/>
    <w:tmpl w:val="BF1073C4"/>
    <w:lvl w:ilvl="0" w:tplc="BC405A1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6F4B6238"/>
    <w:multiLevelType w:val="hybridMultilevel"/>
    <w:tmpl w:val="894EE89C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709E25ED"/>
    <w:multiLevelType w:val="multilevel"/>
    <w:tmpl w:val="5FD63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6"/>
  </w:num>
  <w:num w:numId="8">
    <w:abstractNumId w:val="7"/>
  </w:num>
  <w:num w:numId="9">
    <w:abstractNumId w:val="5"/>
  </w:num>
  <w:num w:numId="10">
    <w:abstractNumId w:val="3"/>
  </w:num>
  <w:num w:numId="11">
    <w:abstractNumId w:val="6"/>
  </w:num>
  <w:num w:numId="12">
    <w:abstractNumId w:val="8"/>
  </w:num>
  <w:num w:numId="13">
    <w:abstractNumId w:val="11"/>
  </w:num>
  <w:num w:numId="14">
    <w:abstractNumId w:val="15"/>
  </w:num>
  <w:num w:numId="15">
    <w:abstractNumId w:val="10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50D"/>
    <w:rsid w:val="0000686B"/>
    <w:rsid w:val="0002208F"/>
    <w:rsid w:val="000503AE"/>
    <w:rsid w:val="000952E9"/>
    <w:rsid w:val="000D09BD"/>
    <w:rsid w:val="000E71AE"/>
    <w:rsid w:val="00126828"/>
    <w:rsid w:val="001638ED"/>
    <w:rsid w:val="0017665B"/>
    <w:rsid w:val="00185FDB"/>
    <w:rsid w:val="00186526"/>
    <w:rsid w:val="001A2B63"/>
    <w:rsid w:val="001C5547"/>
    <w:rsid w:val="001C6AE9"/>
    <w:rsid w:val="001D5742"/>
    <w:rsid w:val="001E3D65"/>
    <w:rsid w:val="001E65DD"/>
    <w:rsid w:val="0021292C"/>
    <w:rsid w:val="0022096E"/>
    <w:rsid w:val="00232A48"/>
    <w:rsid w:val="00232BAD"/>
    <w:rsid w:val="00236E36"/>
    <w:rsid w:val="0027034D"/>
    <w:rsid w:val="00275242"/>
    <w:rsid w:val="00280F7F"/>
    <w:rsid w:val="002940BF"/>
    <w:rsid w:val="002A44FB"/>
    <w:rsid w:val="002B6249"/>
    <w:rsid w:val="002C1180"/>
    <w:rsid w:val="002D2F17"/>
    <w:rsid w:val="0032138D"/>
    <w:rsid w:val="003677AA"/>
    <w:rsid w:val="00381C6E"/>
    <w:rsid w:val="00393086"/>
    <w:rsid w:val="00396C37"/>
    <w:rsid w:val="003A662A"/>
    <w:rsid w:val="003A6E0B"/>
    <w:rsid w:val="00400C55"/>
    <w:rsid w:val="0041189F"/>
    <w:rsid w:val="004468FF"/>
    <w:rsid w:val="004B5E00"/>
    <w:rsid w:val="00502550"/>
    <w:rsid w:val="00526505"/>
    <w:rsid w:val="0054568C"/>
    <w:rsid w:val="0059176B"/>
    <w:rsid w:val="00592CC8"/>
    <w:rsid w:val="005B4641"/>
    <w:rsid w:val="005B67E7"/>
    <w:rsid w:val="005D7F57"/>
    <w:rsid w:val="00634A01"/>
    <w:rsid w:val="00641C0F"/>
    <w:rsid w:val="00643F45"/>
    <w:rsid w:val="006865D2"/>
    <w:rsid w:val="006A25FB"/>
    <w:rsid w:val="006F371F"/>
    <w:rsid w:val="00703854"/>
    <w:rsid w:val="00704D17"/>
    <w:rsid w:val="00713661"/>
    <w:rsid w:val="0072321E"/>
    <w:rsid w:val="0073536B"/>
    <w:rsid w:val="00742BBB"/>
    <w:rsid w:val="00764638"/>
    <w:rsid w:val="0077132E"/>
    <w:rsid w:val="00771578"/>
    <w:rsid w:val="007915CD"/>
    <w:rsid w:val="007D2D04"/>
    <w:rsid w:val="007E5A8F"/>
    <w:rsid w:val="007E74AD"/>
    <w:rsid w:val="007F37CD"/>
    <w:rsid w:val="008433C1"/>
    <w:rsid w:val="00861BF8"/>
    <w:rsid w:val="00883C97"/>
    <w:rsid w:val="008A5105"/>
    <w:rsid w:val="008C6EC7"/>
    <w:rsid w:val="008D0496"/>
    <w:rsid w:val="008D0B6A"/>
    <w:rsid w:val="008E18E2"/>
    <w:rsid w:val="008F2944"/>
    <w:rsid w:val="00901453"/>
    <w:rsid w:val="0090452E"/>
    <w:rsid w:val="0095698F"/>
    <w:rsid w:val="0096605D"/>
    <w:rsid w:val="00967273"/>
    <w:rsid w:val="0097394D"/>
    <w:rsid w:val="0099024E"/>
    <w:rsid w:val="009918D2"/>
    <w:rsid w:val="0099450D"/>
    <w:rsid w:val="009B6782"/>
    <w:rsid w:val="009B6E13"/>
    <w:rsid w:val="009D3FB0"/>
    <w:rsid w:val="009D440F"/>
    <w:rsid w:val="009F2312"/>
    <w:rsid w:val="00A20396"/>
    <w:rsid w:val="00A30725"/>
    <w:rsid w:val="00A423B3"/>
    <w:rsid w:val="00A4403E"/>
    <w:rsid w:val="00A50742"/>
    <w:rsid w:val="00A5178B"/>
    <w:rsid w:val="00AC0ACC"/>
    <w:rsid w:val="00AC257C"/>
    <w:rsid w:val="00B10BA5"/>
    <w:rsid w:val="00B12F24"/>
    <w:rsid w:val="00B20ACD"/>
    <w:rsid w:val="00B210E8"/>
    <w:rsid w:val="00B278CC"/>
    <w:rsid w:val="00B3317B"/>
    <w:rsid w:val="00B4458B"/>
    <w:rsid w:val="00B51917"/>
    <w:rsid w:val="00B76CAD"/>
    <w:rsid w:val="00B859B2"/>
    <w:rsid w:val="00B903A3"/>
    <w:rsid w:val="00BE2853"/>
    <w:rsid w:val="00BF1A35"/>
    <w:rsid w:val="00C264AE"/>
    <w:rsid w:val="00C34C76"/>
    <w:rsid w:val="00C60D58"/>
    <w:rsid w:val="00CA3615"/>
    <w:rsid w:val="00CD2D1E"/>
    <w:rsid w:val="00CD4F07"/>
    <w:rsid w:val="00D001A4"/>
    <w:rsid w:val="00D22F97"/>
    <w:rsid w:val="00D46CA5"/>
    <w:rsid w:val="00D477E2"/>
    <w:rsid w:val="00D54E8E"/>
    <w:rsid w:val="00D679B6"/>
    <w:rsid w:val="00D8205D"/>
    <w:rsid w:val="00DA7570"/>
    <w:rsid w:val="00DB19C9"/>
    <w:rsid w:val="00DB338F"/>
    <w:rsid w:val="00DF00C6"/>
    <w:rsid w:val="00DF34C1"/>
    <w:rsid w:val="00E052B8"/>
    <w:rsid w:val="00E13F20"/>
    <w:rsid w:val="00E224DC"/>
    <w:rsid w:val="00E23F88"/>
    <w:rsid w:val="00E24EC8"/>
    <w:rsid w:val="00E25FA1"/>
    <w:rsid w:val="00E26838"/>
    <w:rsid w:val="00E53C0B"/>
    <w:rsid w:val="00E663D0"/>
    <w:rsid w:val="00E71D56"/>
    <w:rsid w:val="00E76F8C"/>
    <w:rsid w:val="00E91388"/>
    <w:rsid w:val="00EA7FD0"/>
    <w:rsid w:val="00EE56DD"/>
    <w:rsid w:val="00EF05EF"/>
    <w:rsid w:val="00F14A98"/>
    <w:rsid w:val="00F317BE"/>
    <w:rsid w:val="00F40AF6"/>
    <w:rsid w:val="00F522F2"/>
    <w:rsid w:val="00F531CA"/>
    <w:rsid w:val="00F55D87"/>
    <w:rsid w:val="00F85035"/>
    <w:rsid w:val="00FC0701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D71465-7E5B-464A-99B9-2F796DC91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0D"/>
    <w:rPr>
      <w:sz w:val="24"/>
      <w:szCs w:val="24"/>
    </w:rPr>
  </w:style>
  <w:style w:type="paragraph" w:styleId="2">
    <w:name w:val="heading 2"/>
    <w:basedOn w:val="a"/>
    <w:next w:val="a"/>
    <w:qFormat/>
    <w:rsid w:val="0099450D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B210E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D04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C118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9450D"/>
    <w:pPr>
      <w:ind w:left="720"/>
      <w:contextualSpacing/>
    </w:pPr>
    <w:rPr>
      <w:rFonts w:ascii="Garamond" w:hAnsi="Garamond"/>
      <w:sz w:val="22"/>
      <w:szCs w:val="20"/>
    </w:rPr>
  </w:style>
  <w:style w:type="paragraph" w:styleId="a5">
    <w:name w:val="Balloon Text"/>
    <w:basedOn w:val="a"/>
    <w:link w:val="a6"/>
    <w:rsid w:val="00186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18652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B210E8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a7">
    <w:name w:val="annotation reference"/>
    <w:uiPriority w:val="99"/>
    <w:rsid w:val="00C60D58"/>
    <w:rPr>
      <w:sz w:val="16"/>
      <w:szCs w:val="16"/>
    </w:rPr>
  </w:style>
  <w:style w:type="paragraph" w:styleId="a8">
    <w:name w:val="annotation text"/>
    <w:basedOn w:val="a"/>
    <w:link w:val="a9"/>
    <w:uiPriority w:val="99"/>
    <w:rsid w:val="00C60D5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C60D58"/>
  </w:style>
  <w:style w:type="paragraph" w:styleId="aa">
    <w:name w:val="annotation subject"/>
    <w:basedOn w:val="a8"/>
    <w:next w:val="a8"/>
    <w:link w:val="ab"/>
    <w:rsid w:val="00C60D58"/>
    <w:rPr>
      <w:b/>
      <w:bCs/>
    </w:rPr>
  </w:style>
  <w:style w:type="character" w:customStyle="1" w:styleId="ab">
    <w:name w:val="Тема примечания Знак"/>
    <w:link w:val="aa"/>
    <w:rsid w:val="00C60D58"/>
    <w:rPr>
      <w:b/>
      <w:bCs/>
    </w:rPr>
  </w:style>
  <w:style w:type="paragraph" w:styleId="ac">
    <w:name w:val="header"/>
    <w:basedOn w:val="a"/>
    <w:link w:val="ad"/>
    <w:uiPriority w:val="99"/>
    <w:rsid w:val="0027524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75242"/>
    <w:rPr>
      <w:sz w:val="24"/>
      <w:szCs w:val="24"/>
    </w:rPr>
  </w:style>
  <w:style w:type="paragraph" w:styleId="ae">
    <w:name w:val="footer"/>
    <w:basedOn w:val="a"/>
    <w:link w:val="af"/>
    <w:uiPriority w:val="99"/>
    <w:rsid w:val="0027524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75242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D049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rsid w:val="002C118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styleId="af0">
    <w:name w:val="Placeholder Text"/>
    <w:basedOn w:val="a0"/>
    <w:uiPriority w:val="99"/>
    <w:semiHidden/>
    <w:rsid w:val="00126828"/>
    <w:rPr>
      <w:color w:val="808080"/>
    </w:rPr>
  </w:style>
  <w:style w:type="paragraph" w:styleId="af1">
    <w:name w:val="Body Text"/>
    <w:basedOn w:val="a"/>
    <w:link w:val="af2"/>
    <w:rsid w:val="002A44FB"/>
    <w:pPr>
      <w:suppressAutoHyphens/>
      <w:spacing w:before="120" w:after="120"/>
      <w:jc w:val="both"/>
    </w:pPr>
    <w:rPr>
      <w:rFonts w:eastAsia="Batang"/>
      <w:sz w:val="22"/>
      <w:szCs w:val="22"/>
      <w:lang w:eastAsia="ar-SA"/>
    </w:rPr>
  </w:style>
  <w:style w:type="character" w:customStyle="1" w:styleId="af2">
    <w:name w:val="Основной текст Знак"/>
    <w:basedOn w:val="a0"/>
    <w:link w:val="af1"/>
    <w:rsid w:val="002A44FB"/>
    <w:rPr>
      <w:rFonts w:eastAsia="Batang"/>
      <w:sz w:val="22"/>
      <w:szCs w:val="22"/>
      <w:lang w:eastAsia="ar-SA"/>
    </w:rPr>
  </w:style>
  <w:style w:type="character" w:customStyle="1" w:styleId="a4">
    <w:name w:val="Абзац списка Знак"/>
    <w:link w:val="a3"/>
    <w:uiPriority w:val="34"/>
    <w:rsid w:val="00771578"/>
    <w:rPr>
      <w:rFonts w:ascii="Garamond" w:hAnsi="Garamond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D000A-37A0-4C32-BFC5-F476E536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2918</Words>
  <Characters>20160</Characters>
  <Application>Microsoft Office Word</Application>
  <DocSecurity>0</DocSecurity>
  <Lines>168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Ассоциации «НП Совет рынка»</vt:lpstr>
    </vt:vector>
  </TitlesOfParts>
  <Company>rosinter</Company>
  <LinksUpToDate>false</LinksUpToDate>
  <CharactersWithSpaces>23032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Ассоциации «НП Совет рынка»</dc:title>
  <dc:creator>pii</dc:creator>
  <cp:lastModifiedBy>Дарья Санне</cp:lastModifiedBy>
  <cp:revision>7</cp:revision>
  <cp:lastPrinted>2019-02-21T15:53:00Z</cp:lastPrinted>
  <dcterms:created xsi:type="dcterms:W3CDTF">2019-02-18T07:49:00Z</dcterms:created>
  <dcterms:modified xsi:type="dcterms:W3CDTF">2019-02-22T15:53:00Z</dcterms:modified>
</cp:coreProperties>
</file>